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8CA34" w14:textId="77777777" w:rsidR="00044F41" w:rsidRDefault="000A40E6">
      <w:pPr>
        <w:spacing w:line="240" w:lineRule="auto"/>
      </w:pPr>
      <w:r>
        <w:t>일본교육행정학회연보</w:t>
      </w:r>
      <w:r>
        <w:t xml:space="preserve"> </w:t>
      </w:r>
      <w:r>
        <w:t>제</w:t>
      </w:r>
      <w:r>
        <w:t>47</w:t>
      </w:r>
      <w:r>
        <w:t>권</w:t>
      </w:r>
      <w:r>
        <w:t xml:space="preserve"> 2021.10.01 </w:t>
      </w:r>
      <w:r>
        <w:t>발행</w:t>
      </w:r>
    </w:p>
    <w:p w14:paraId="33021C9C" w14:textId="77777777" w:rsidR="00044F41" w:rsidRDefault="000A40E6">
      <w:pPr>
        <w:spacing w:after="0" w:line="240" w:lineRule="auto"/>
        <w:jc w:val="center"/>
      </w:pPr>
      <w:r>
        <w:t>게재</w:t>
      </w:r>
      <w:r>
        <w:t xml:space="preserve"> </w:t>
      </w:r>
      <w:r>
        <w:t>논문</w:t>
      </w:r>
      <w:r>
        <w:rPr>
          <w:lang w:eastAsia="ja-JP"/>
        </w:rPr>
        <w:t>①</w:t>
      </w:r>
      <w:r>
        <w:t xml:space="preserve"> </w:t>
      </w:r>
    </w:p>
    <w:p w14:paraId="73105FEA" w14:textId="77777777" w:rsidR="00044F41" w:rsidRDefault="000A40E6">
      <w:pPr>
        <w:spacing w:after="0" w:line="240" w:lineRule="auto"/>
        <w:jc w:val="center"/>
      </w:pPr>
      <w:r>
        <w:t>학교통폐합에</w:t>
      </w:r>
      <w:r>
        <w:t xml:space="preserve"> </w:t>
      </w:r>
      <w:r>
        <w:t>따른</w:t>
      </w:r>
      <w:r>
        <w:t xml:space="preserve"> </w:t>
      </w:r>
      <w:r>
        <w:t>교육인사이동의</w:t>
      </w:r>
      <w:r>
        <w:t xml:space="preserve"> </w:t>
      </w:r>
      <w:r>
        <w:t>동태</w:t>
      </w:r>
      <w:r>
        <w:t>-</w:t>
      </w:r>
      <w:r>
        <w:t>단위학교의</w:t>
      </w:r>
      <w:r>
        <w:t xml:space="preserve"> </w:t>
      </w:r>
      <w:r>
        <w:t>교직원조직에</w:t>
      </w:r>
      <w:r>
        <w:t xml:space="preserve"> </w:t>
      </w:r>
      <w:r>
        <w:t>초점을</w:t>
      </w:r>
      <w:r>
        <w:t xml:space="preserve"> </w:t>
      </w:r>
      <w:r>
        <w:t>맞춘</w:t>
      </w:r>
      <w:r>
        <w:t xml:space="preserve"> </w:t>
      </w:r>
      <w:r>
        <w:t>교원인사연구</w:t>
      </w:r>
    </w:p>
    <w:p w14:paraId="563C8CA4"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(Dynamics of Teacher Personnel Changes Associated with School Consolidation-Teacher Personnel Study Focusing on Teacher Organization in Unit Schools-)</w:t>
      </w:r>
    </w:p>
    <w:p w14:paraId="6BEC5A80" w14:textId="77777777" w:rsidR="00044F41" w:rsidRDefault="00044F41">
      <w:pPr>
        <w:spacing w:after="0" w:line="240" w:lineRule="auto"/>
        <w:rPr>
          <w:rFonts w:ascii="Times New Roman" w:eastAsia="Times New Roman" w:hAnsi="Times New Roman"/>
          <w:sz w:val="22"/>
          <w:szCs w:val="24"/>
        </w:rPr>
      </w:pPr>
    </w:p>
    <w:p w14:paraId="6558C20E" w14:textId="77777777" w:rsidR="00044F41" w:rsidRDefault="000A40E6">
      <w:pPr>
        <w:spacing w:after="0" w:line="240" w:lineRule="auto"/>
        <w:jc w:val="right"/>
        <w:rPr>
          <w:rFonts w:ascii="Times New Roman" w:eastAsia="Times New Roman" w:hAnsi="Times New Roman"/>
          <w:sz w:val="22"/>
          <w:szCs w:val="24"/>
        </w:rPr>
      </w:pPr>
      <w:r>
        <w:rPr>
          <w:rFonts w:ascii="Times New Roman" w:eastAsia="Times New Roman" w:hAnsi="Times New Roman"/>
          <w:sz w:val="22"/>
          <w:szCs w:val="24"/>
        </w:rPr>
        <w:t xml:space="preserve">Shohei ASADA, </w:t>
      </w:r>
      <w:r>
        <w:rPr>
          <w:rFonts w:ascii="Times New Roman" w:eastAsia="Times New Roman" w:hAnsi="Times New Roman"/>
          <w:i/>
          <w:iCs/>
          <w:sz w:val="22"/>
          <w:szCs w:val="24"/>
        </w:rPr>
        <w:t>Shitennoji University</w:t>
      </w:r>
    </w:p>
    <w:p w14:paraId="1919801C" w14:textId="77777777" w:rsidR="00044F41" w:rsidRDefault="000A40E6">
      <w:pPr>
        <w:spacing w:after="0" w:line="240" w:lineRule="auto"/>
        <w:jc w:val="right"/>
        <w:rPr>
          <w:rFonts w:ascii="Times New Roman" w:eastAsia="Times New Roman" w:hAnsi="Times New Roman"/>
          <w:sz w:val="22"/>
          <w:szCs w:val="24"/>
        </w:rPr>
      </w:pPr>
      <w:r>
        <w:rPr>
          <w:rFonts w:ascii="Times New Roman" w:eastAsia="Times New Roman" w:hAnsi="Times New Roman"/>
          <w:sz w:val="22"/>
          <w:szCs w:val="24"/>
        </w:rPr>
        <w:t xml:space="preserve">Yoshihiro SAKAKIBARA, </w:t>
      </w:r>
      <w:r>
        <w:rPr>
          <w:rFonts w:ascii="Times New Roman" w:eastAsia="Times New Roman" w:hAnsi="Times New Roman"/>
          <w:i/>
          <w:iCs/>
          <w:sz w:val="22"/>
          <w:szCs w:val="24"/>
        </w:rPr>
        <w:t>Kyoto University of Education</w:t>
      </w:r>
    </w:p>
    <w:p w14:paraId="025470AB" w14:textId="77777777" w:rsidR="00044F41" w:rsidRDefault="000A40E6">
      <w:pPr>
        <w:spacing w:after="0" w:line="240" w:lineRule="auto"/>
        <w:jc w:val="right"/>
        <w:rPr>
          <w:rFonts w:ascii="Times New Roman" w:eastAsia="Times New Roman" w:hAnsi="Times New Roman"/>
          <w:i/>
          <w:iCs/>
          <w:sz w:val="22"/>
          <w:szCs w:val="24"/>
        </w:rPr>
      </w:pPr>
      <w:r>
        <w:rPr>
          <w:rFonts w:ascii="Times New Roman" w:eastAsia="Times New Roman" w:hAnsi="Times New Roman"/>
          <w:sz w:val="22"/>
          <w:szCs w:val="24"/>
        </w:rPr>
        <w:t xml:space="preserve">Chizuru MATSUMURA, </w:t>
      </w:r>
      <w:r>
        <w:rPr>
          <w:rFonts w:ascii="Times New Roman" w:eastAsia="Times New Roman" w:hAnsi="Times New Roman"/>
          <w:i/>
          <w:iCs/>
          <w:sz w:val="22"/>
          <w:szCs w:val="24"/>
        </w:rPr>
        <w:t>Kyoto Prefectural University</w:t>
      </w:r>
    </w:p>
    <w:p w14:paraId="7C72EFF6" w14:textId="77777777" w:rsidR="00044F41" w:rsidRDefault="00044F41">
      <w:pPr>
        <w:spacing w:after="0" w:line="240" w:lineRule="auto"/>
        <w:jc w:val="right"/>
        <w:rPr>
          <w:rFonts w:ascii="Times New Roman" w:eastAsia="Times New Roman" w:hAnsi="Times New Roman"/>
          <w:sz w:val="22"/>
          <w:szCs w:val="24"/>
        </w:rPr>
      </w:pPr>
    </w:p>
    <w:p w14:paraId="606CB823" w14:textId="77777777" w:rsidR="00044F41" w:rsidRDefault="00044F41">
      <w:pPr>
        <w:spacing w:after="0" w:line="240" w:lineRule="auto"/>
        <w:jc w:val="right"/>
        <w:rPr>
          <w:rFonts w:ascii="Times New Roman" w:eastAsia="Times New Roman" w:hAnsi="Times New Roman"/>
          <w:sz w:val="22"/>
          <w:szCs w:val="24"/>
        </w:rPr>
      </w:pPr>
    </w:p>
    <w:p w14:paraId="45E10CBA"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 xml:space="preserve">  The purpose of this paper is to clarify how school consolidation is reflected in teacher assignments at individual s</w:t>
      </w:r>
      <w:r>
        <w:rPr>
          <w:rFonts w:ascii="Times New Roman" w:eastAsia="Times New Roman" w:hAnsi="Times New Roman"/>
          <w:sz w:val="22"/>
          <w:szCs w:val="24"/>
        </w:rPr>
        <w:t>chools, on the administrative issue of school consolidation and teacher personnel transfers faced by a certain municipality(X city, Z Prefecture). It will also raise the question of how educational administration can respond to this issue in the future.</w:t>
      </w:r>
    </w:p>
    <w:p w14:paraId="65B218A1"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 xml:space="preserve">  </w:t>
      </w:r>
      <w:r>
        <w:rPr>
          <w:rFonts w:ascii="Times New Roman" w:eastAsia="Times New Roman" w:hAnsi="Times New Roman"/>
          <w:sz w:val="22"/>
          <w:szCs w:val="24"/>
        </w:rPr>
        <w:t>For the analysis, we used documents related to the city administration, the yearly edition of the “Z Prefecture School Personnel Records,” and the “Personnel Changes in Teachers” at the end of each fiscal year published in various nespapers, etc. In additi</w:t>
      </w:r>
      <w:r>
        <w:rPr>
          <w:rFonts w:ascii="Times New Roman" w:eastAsia="Times New Roman" w:hAnsi="Times New Roman"/>
          <w:sz w:val="22"/>
          <w:szCs w:val="24"/>
        </w:rPr>
        <w:t>on, 1,438 teachers and staff members who were assigned or transferred to elementary schools in X City during the 18-year perioed from 2003 to 2020, before and after the consolidation of schools, were included in the analysis.</w:t>
      </w:r>
    </w:p>
    <w:p w14:paraId="7C67C941"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 xml:space="preserve">  Based on the above data and </w:t>
      </w:r>
      <w:r>
        <w:rPr>
          <w:rFonts w:ascii="Times New Roman" w:eastAsia="Times New Roman" w:hAnsi="Times New Roman"/>
          <w:sz w:val="22"/>
          <w:szCs w:val="24"/>
        </w:rPr>
        <w:t>anlaysis, the following conclusions were drawn. In the consolidation of elementary schools in X City against the backdrop of a decrease in the number of children and the merger of towns and villages, the aim was to ensure the stabiliby of childrens's schoo</w:t>
      </w:r>
      <w:r>
        <w:rPr>
          <w:rFonts w:ascii="Times New Roman" w:eastAsia="Times New Roman" w:hAnsi="Times New Roman"/>
          <w:sz w:val="22"/>
          <w:szCs w:val="24"/>
        </w:rPr>
        <w:t>ls life in the integrated schools and the continuity of educational activites from the former elementary schools. The basic policy on teacher allocation, which was outlined in the “Basic Plan for School Reallocation” complied from the discussions of the st</w:t>
      </w:r>
      <w:r>
        <w:rPr>
          <w:rFonts w:ascii="Times New Roman" w:eastAsia="Times New Roman" w:hAnsi="Times New Roman"/>
          <w:sz w:val="22"/>
          <w:szCs w:val="24"/>
        </w:rPr>
        <w:t>udy committees and their subcommittees in each of the six fomer towns, strongly regulated the allocation of teachers to the integrated schools.</w:t>
      </w:r>
    </w:p>
    <w:p w14:paraId="34A0AA9D"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 xml:space="preserve">  This was evident from the following actual conditions at the integrated schools in the year of integration. (1</w:t>
      </w:r>
      <w:r>
        <w:rPr>
          <w:rFonts w:ascii="Times New Roman" w:eastAsia="Times New Roman" w:hAnsi="Times New Roman"/>
          <w:sz w:val="22"/>
          <w:szCs w:val="24"/>
        </w:rPr>
        <w:t xml:space="preserve">) More than 80% of the teachers were from the former elementary schools, (2) Almost all of the teachers were transferred from elementary schools in the same city, and (3) All of the schools administrators were former elementary school administrators, etc. </w:t>
      </w:r>
      <w:r>
        <w:rPr>
          <w:rFonts w:ascii="Times New Roman" w:eastAsia="Times New Roman" w:hAnsi="Times New Roman"/>
          <w:sz w:val="22"/>
          <w:szCs w:val="24"/>
        </w:rPr>
        <w:t>In addition, the length of service qt the integrated schools differed greatly between teachers assigned in the first year of the integration and those transferred after the second year, especially for principals and teachers. Furthermore, few of the teache</w:t>
      </w:r>
      <w:r>
        <w:rPr>
          <w:rFonts w:ascii="Times New Roman" w:eastAsia="Times New Roman" w:hAnsi="Times New Roman"/>
          <w:sz w:val="22"/>
          <w:szCs w:val="24"/>
        </w:rPr>
        <w:t>rs who were transferred after the second year had experience working at the former elementary school. In other words, the stability of school life in the former elementary schools were strongly manifested in the personnel changes in the first year after th</w:t>
      </w:r>
      <w:r>
        <w:rPr>
          <w:rFonts w:ascii="Times New Roman" w:eastAsia="Times New Roman" w:hAnsi="Times New Roman"/>
          <w:sz w:val="22"/>
          <w:szCs w:val="24"/>
        </w:rPr>
        <w:t>e schools were integrated. However, this was weakened after the second year.</w:t>
      </w:r>
    </w:p>
    <w:p w14:paraId="12BE275F"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 xml:space="preserve">  This raises the following need for the research in educational administration. The relationship between the organization of the teaching staff in unit schools and personnel chan</w:t>
      </w:r>
      <w:r>
        <w:rPr>
          <w:rFonts w:ascii="Times New Roman" w:eastAsia="Times New Roman" w:hAnsi="Times New Roman"/>
          <w:sz w:val="22"/>
          <w:szCs w:val="24"/>
        </w:rPr>
        <w:t>ges has not been demonstrated so far, However, the composition of the teaching staff in a unit school is an important variable in school management, and the personnel changes of teachers in each municipality regulate this composition. Research on teacher p</w:t>
      </w:r>
      <w:r>
        <w:rPr>
          <w:rFonts w:ascii="Times New Roman" w:eastAsia="Times New Roman" w:hAnsi="Times New Roman"/>
          <w:sz w:val="22"/>
          <w:szCs w:val="24"/>
        </w:rPr>
        <w:t xml:space="preserve">ersonnel from this perspective may be required in the future. </w:t>
      </w:r>
    </w:p>
    <w:p w14:paraId="23F9354A"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 xml:space="preserve">                                 </w:t>
      </w:r>
    </w:p>
    <w:p w14:paraId="2A7E2031"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 xml:space="preserve">                              </w:t>
      </w:r>
      <w:r>
        <w:rPr>
          <w:rFonts w:ascii="Times New Roman" w:eastAsia="Times New Roman" w:hAnsi="Times New Roman"/>
          <w:i/>
          <w:iCs/>
          <w:sz w:val="22"/>
          <w:szCs w:val="24"/>
        </w:rPr>
        <w:t>Key Words</w:t>
      </w:r>
    </w:p>
    <w:p w14:paraId="43A5B624" w14:textId="77777777" w:rsidR="00044F41" w:rsidRDefault="000A40E6">
      <w:pPr>
        <w:tabs>
          <w:tab w:val="left" w:pos="6227"/>
        </w:tabs>
        <w:spacing w:after="0" w:line="240" w:lineRule="auto"/>
        <w:jc w:val="right"/>
        <w:rPr>
          <w:rFonts w:ascii="Times New Roman" w:eastAsia="Times New Roman" w:hAnsi="Times New Roman"/>
          <w:sz w:val="22"/>
          <w:szCs w:val="24"/>
        </w:rPr>
      </w:pPr>
      <w:r>
        <w:rPr>
          <w:rFonts w:ascii="Times New Roman" w:eastAsia="Times New Roman" w:hAnsi="Times New Roman"/>
          <w:sz w:val="22"/>
          <w:szCs w:val="24"/>
        </w:rPr>
        <w:t xml:space="preserve">  School Consolidation, Teacher Personnel, Inter-School Transfer,</w:t>
      </w:r>
    </w:p>
    <w:p w14:paraId="474961B6" w14:textId="77777777" w:rsidR="00044F41" w:rsidRDefault="000A40E6">
      <w:pPr>
        <w:tabs>
          <w:tab w:val="left" w:pos="6227"/>
        </w:tabs>
        <w:spacing w:after="0" w:line="240" w:lineRule="auto"/>
        <w:jc w:val="left"/>
        <w:rPr>
          <w:rFonts w:ascii="Times New Roman" w:eastAsia="Times New Roman" w:hAnsi="Times New Roman"/>
          <w:sz w:val="22"/>
          <w:szCs w:val="24"/>
        </w:rPr>
      </w:pPr>
      <w:r>
        <w:rPr>
          <w:rFonts w:ascii="Times New Roman" w:eastAsia="Times New Roman" w:hAnsi="Times New Roman"/>
          <w:sz w:val="22"/>
          <w:szCs w:val="24"/>
        </w:rPr>
        <w:t xml:space="preserve">                               Teacher Organization, </w:t>
      </w:r>
      <w:r>
        <w:rPr>
          <w:rFonts w:ascii="Times New Roman" w:eastAsia="Times New Roman" w:hAnsi="Times New Roman"/>
          <w:sz w:val="22"/>
          <w:szCs w:val="24"/>
        </w:rPr>
        <w:t>“Community-Based School”</w:t>
      </w:r>
    </w:p>
    <w:p w14:paraId="65366CC4" w14:textId="77777777" w:rsidR="00044F41" w:rsidRDefault="00044F41">
      <w:pPr>
        <w:spacing w:line="240" w:lineRule="auto"/>
        <w:jc w:val="left"/>
        <w:rPr>
          <w:rFonts w:ascii="Times New Roman" w:eastAsia="Times New Roman" w:hAnsi="Times New Roman"/>
          <w:sz w:val="22"/>
          <w:szCs w:val="24"/>
        </w:rPr>
      </w:pPr>
    </w:p>
    <w:p w14:paraId="73F77963" w14:textId="77777777" w:rsidR="00044F41" w:rsidRDefault="00044F41">
      <w:pPr>
        <w:spacing w:line="240" w:lineRule="auto"/>
        <w:jc w:val="left"/>
      </w:pPr>
    </w:p>
    <w:p w14:paraId="77F8B12A" w14:textId="77777777" w:rsidR="00044F41" w:rsidRDefault="00044F41">
      <w:pPr>
        <w:spacing w:line="240" w:lineRule="auto"/>
        <w:jc w:val="left"/>
      </w:pPr>
    </w:p>
    <w:p w14:paraId="1AB18F2C" w14:textId="77777777" w:rsidR="00044F41" w:rsidRDefault="000A40E6">
      <w:pPr>
        <w:spacing w:after="0" w:line="240" w:lineRule="auto"/>
        <w:jc w:val="center"/>
      </w:pPr>
      <w:r>
        <w:lastRenderedPageBreak/>
        <w:t>게재</w:t>
      </w:r>
      <w:r>
        <w:t xml:space="preserve"> </w:t>
      </w:r>
      <w:r>
        <w:t>논문</w:t>
      </w:r>
      <w:r>
        <w:rPr>
          <w:lang w:eastAsia="ja-JP"/>
        </w:rPr>
        <w:t>②</w:t>
      </w:r>
    </w:p>
    <w:p w14:paraId="28CE48A7" w14:textId="77777777" w:rsidR="00044F41" w:rsidRDefault="000A40E6">
      <w:pPr>
        <w:spacing w:after="0" w:line="240" w:lineRule="auto"/>
        <w:jc w:val="center"/>
      </w:pPr>
      <w:r>
        <w:t>사회경제적</w:t>
      </w:r>
      <w:r>
        <w:t xml:space="preserve"> </w:t>
      </w:r>
      <w:r>
        <w:t>배경을</w:t>
      </w:r>
      <w:r>
        <w:t xml:space="preserve"> </w:t>
      </w:r>
      <w:r>
        <w:t>배려한</w:t>
      </w:r>
      <w:r>
        <w:t xml:space="preserve"> </w:t>
      </w:r>
      <w:r>
        <w:t>교육자원배분의</w:t>
      </w:r>
      <w:r>
        <w:t xml:space="preserve"> </w:t>
      </w:r>
      <w:r>
        <w:t>제도원리와</w:t>
      </w:r>
      <w:r>
        <w:t xml:space="preserve"> </w:t>
      </w:r>
      <w:r>
        <w:t>시스템</w:t>
      </w:r>
      <w:r>
        <w:t>-</w:t>
      </w:r>
      <w:r>
        <w:t>스웨덴의</w:t>
      </w:r>
      <w:r>
        <w:t xml:space="preserve"> </w:t>
      </w:r>
      <w:r>
        <w:t>배분시스템을</w:t>
      </w:r>
      <w:r>
        <w:t xml:space="preserve"> </w:t>
      </w:r>
      <w:r>
        <w:t>참조하여</w:t>
      </w:r>
      <w:r>
        <w:t xml:space="preserve">- </w:t>
      </w:r>
    </w:p>
    <w:p w14:paraId="0CC5F4F4"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sz w:val="22"/>
          <w:szCs w:val="24"/>
        </w:rPr>
        <w:t>(Institutional Principles and Systems to Allocate Educational Resources Considering the Socioeconomic Backgrounds in Sweden)</w:t>
      </w:r>
    </w:p>
    <w:p w14:paraId="2152F6A8" w14:textId="77777777" w:rsidR="00044F41" w:rsidRDefault="00044F41">
      <w:pPr>
        <w:spacing w:after="0" w:line="240" w:lineRule="auto"/>
        <w:jc w:val="right"/>
        <w:rPr>
          <w:rFonts w:ascii="Times New Roman" w:eastAsia="Times New Roman" w:hAnsi="Times New Roman"/>
          <w:sz w:val="22"/>
          <w:szCs w:val="24"/>
        </w:rPr>
      </w:pPr>
    </w:p>
    <w:p w14:paraId="06CD3F7C" w14:textId="77777777" w:rsidR="00044F41" w:rsidRDefault="000A40E6">
      <w:pPr>
        <w:spacing w:after="0" w:line="240" w:lineRule="auto"/>
        <w:jc w:val="right"/>
        <w:rPr>
          <w:rFonts w:ascii="Times New Roman" w:eastAsia="Times New Roman" w:hAnsi="Times New Roman"/>
          <w:sz w:val="22"/>
          <w:szCs w:val="24"/>
        </w:rPr>
      </w:pPr>
      <w:r>
        <w:rPr>
          <w:rFonts w:ascii="Times New Roman" w:eastAsia="Times New Roman" w:hAnsi="Times New Roman"/>
          <w:sz w:val="22"/>
          <w:szCs w:val="24"/>
        </w:rPr>
        <w:t xml:space="preserve">Saiko SADAHIRO, </w:t>
      </w:r>
      <w:r>
        <w:rPr>
          <w:rFonts w:ascii="Times New Roman" w:eastAsia="Times New Roman" w:hAnsi="Times New Roman"/>
          <w:i/>
          <w:iCs/>
          <w:sz w:val="22"/>
          <w:szCs w:val="24"/>
        </w:rPr>
        <w:t>Chiba University</w:t>
      </w:r>
    </w:p>
    <w:p w14:paraId="0B093139" w14:textId="77777777" w:rsidR="00044F41" w:rsidRDefault="00044F41">
      <w:pPr>
        <w:spacing w:line="240" w:lineRule="auto"/>
        <w:jc w:val="left"/>
        <w:rPr>
          <w:rFonts w:ascii="Times New Roman" w:eastAsia="Times New Roman" w:hAnsi="Times New Roman"/>
          <w:sz w:val="22"/>
          <w:szCs w:val="24"/>
        </w:rPr>
      </w:pPr>
    </w:p>
    <w:p w14:paraId="7AB1FB85"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In this paper, we focus on the educational resource allocation system that considers differences in socio-economic backgrounds in Sweden and examine the system's elements to consider a Japanese alternative to the system.</w:t>
      </w:r>
    </w:p>
    <w:p w14:paraId="190B16C7"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We analyze the Swedish system from the following four viewpoints: 1)allocation based on differences in socioeconomic backgrounds, 2) the verification of the effect by linking input and outcomes, 3) the preparation and utilization of data, and 4) a clear </w:t>
      </w:r>
      <w:r>
        <w:rPr>
          <w:rFonts w:ascii="Times New Roman" w:eastAsia="Times New Roman" w:hAnsi="Times New Roman" w:hint="eastAsia"/>
          <w:sz w:val="22"/>
          <w:szCs w:val="24"/>
        </w:rPr>
        <w:t>allocation formula that guarantees transparency. Accordingly, an analysis was conducted on the materials issued by the Swedish Local Government Association (SKR: Sveriges Kommuner och Regioner) (formerly, SKL) and the data collected through an interview wi</w:t>
      </w:r>
      <w:r>
        <w:rPr>
          <w:rFonts w:ascii="Times New Roman" w:eastAsia="Times New Roman" w:hAnsi="Times New Roman" w:hint="eastAsia"/>
          <w:sz w:val="22"/>
          <w:szCs w:val="24"/>
        </w:rPr>
        <w:t xml:space="preserve">th a an SKL employee. </w:t>
      </w:r>
    </w:p>
    <w:p w14:paraId="597594B4"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Results revealed that the Swedish system not only makes a strategic gradient allocation after assuming needs and risks but also verifies the allocation's result using relevant data and constantly upgrades itself based on the verifi</w:t>
      </w:r>
      <w:r>
        <w:rPr>
          <w:rFonts w:ascii="Times New Roman" w:eastAsia="Times New Roman" w:hAnsi="Times New Roman" w:hint="eastAsia"/>
          <w:sz w:val="22"/>
          <w:szCs w:val="24"/>
        </w:rPr>
        <w:t>cation. In other words, the educational resource allocation system is implemented based on the evidence-based plan-do-check-act cycle to achieve social justice. These points should be considered when developing a resource allocation system in Japan. Howeve</w:t>
      </w:r>
      <w:r>
        <w:rPr>
          <w:rFonts w:ascii="Times New Roman" w:eastAsia="Times New Roman" w:hAnsi="Times New Roman" w:hint="eastAsia"/>
          <w:sz w:val="22"/>
          <w:szCs w:val="24"/>
        </w:rPr>
        <w:t>r, multiple barriers must be overcome both theoretically and institutionally to realize these points. In this paper, I reconsider these barriers from the four aforementioned viewpoints.</w:t>
      </w:r>
    </w:p>
    <w:p w14:paraId="0ED69104"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First, for viewpoint 1, the allocation system in Japan is strictly b</w:t>
      </w:r>
      <w:r>
        <w:rPr>
          <w:rFonts w:ascii="Times New Roman" w:eastAsia="Times New Roman" w:hAnsi="Times New Roman" w:hint="eastAsia"/>
          <w:sz w:val="22"/>
          <w:szCs w:val="24"/>
        </w:rPr>
        <w:t>ased on equal distribution and does not promote movements and philosophies that support gradual allocation. In addition, there is a strong tendency to view education from the perspective of self-responsibility (Nakazawa 2014) (Yano et al. 2016).</w:t>
      </w:r>
    </w:p>
    <w:p w14:paraId="5885EED7"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Second, </w:t>
      </w:r>
      <w:r>
        <w:rPr>
          <w:rFonts w:ascii="Times New Roman" w:eastAsia="Times New Roman" w:hAnsi="Times New Roman" w:hint="eastAsia"/>
          <w:sz w:val="22"/>
          <w:szCs w:val="24"/>
        </w:rPr>
        <w:t>regarding point 2, the spread of evidence-based policymaking is being affected by neoliberal policy design in Japan. However, these efforts focus on ex-post (outcome) evaluations and are characterized by only a weak intention to provide input variations.</w:t>
      </w:r>
    </w:p>
    <w:p w14:paraId="25288446"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w:t>
      </w:r>
      <w:r>
        <w:rPr>
          <w:rFonts w:ascii="Times New Roman" w:eastAsia="Times New Roman" w:hAnsi="Times New Roman" w:hint="eastAsia"/>
          <w:sz w:val="22"/>
          <w:szCs w:val="24"/>
        </w:rPr>
        <w:t xml:space="preserve"> Further, point 3 denotes the biggest obstacle to the implementation of a system in Japan similar to that of Sweden. In Japan, we do not have reliable high-quality data; furthermore, there are no intermediate organizations to anlalyze date, translate the a</w:t>
      </w:r>
      <w:r>
        <w:rPr>
          <w:rFonts w:ascii="Times New Roman" w:eastAsia="Times New Roman" w:hAnsi="Times New Roman" w:hint="eastAsia"/>
          <w:sz w:val="22"/>
          <w:szCs w:val="24"/>
        </w:rPr>
        <w:t>nalysis, and support policymaking. Therefore, it is difficult to formulate a clear allocation method that guarantees transparency, as required by viewpoint 4). Hence, it is necessary to create an intermediary organization function that acts as a mediator a</w:t>
      </w:r>
      <w:r>
        <w:rPr>
          <w:rFonts w:ascii="Times New Roman" w:eastAsia="Times New Roman" w:hAnsi="Times New Roman" w:hint="eastAsia"/>
          <w:sz w:val="22"/>
          <w:szCs w:val="24"/>
        </w:rPr>
        <w:t>nd translator of evidence similar to the Swedish Local Goverment Association to develop discussions based on facts and evidence supported by high-qualiry data.</w:t>
      </w:r>
    </w:p>
    <w:p w14:paraId="1E6746ED"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Finally, we consider the cultural and social aspects tha will particularly be reauired in the </w:t>
      </w:r>
      <w:r>
        <w:rPr>
          <w:rFonts w:ascii="Times New Roman" w:eastAsia="Times New Roman" w:hAnsi="Times New Roman" w:hint="eastAsia"/>
          <w:sz w:val="22"/>
          <w:szCs w:val="24"/>
        </w:rPr>
        <w:t>future. we should accpet a trial-and-error method to design education policy, aim to develop an efficient system, and discuss various system alternatives that link social justice-related public policy norms (Sano 2010).</w:t>
      </w:r>
    </w:p>
    <w:p w14:paraId="7B18AF3C"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w:t>
      </w:r>
      <w:r>
        <w:rPr>
          <w:rFonts w:ascii="Times New Roman" w:eastAsia="Times New Roman" w:hAnsi="Times New Roman" w:hint="eastAsia"/>
          <w:sz w:val="22"/>
          <w:szCs w:val="24"/>
        </w:rPr>
        <w:t xml:space="preserve">  </w:t>
      </w:r>
    </w:p>
    <w:p w14:paraId="7D079963"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w:t>
      </w:r>
      <w:r>
        <w:rPr>
          <w:rFonts w:ascii="Times New Roman" w:eastAsia="Times New Roman" w:hAnsi="Times New Roman" w:hint="eastAsia"/>
          <w:i/>
          <w:iCs/>
          <w:sz w:val="22"/>
          <w:szCs w:val="24"/>
        </w:rPr>
        <w:t>Key Words</w:t>
      </w:r>
    </w:p>
    <w:p w14:paraId="27947044"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Educational Resource Allocation, Needs-Based Allocation, </w:t>
      </w:r>
    </w:p>
    <w:p w14:paraId="04A39994" w14:textId="77777777" w:rsidR="00044F41" w:rsidRDefault="000A40E6">
      <w:pPr>
        <w:spacing w:after="0" w:line="240" w:lineRule="auto"/>
        <w:rPr>
          <w:rFonts w:ascii="Times New Roman" w:eastAsia="Times New Roman" w:hAnsi="Times New Roman"/>
          <w:sz w:val="22"/>
          <w:szCs w:val="24"/>
        </w:rPr>
      </w:pPr>
      <w:r>
        <w:rPr>
          <w:rFonts w:ascii="Times New Roman" w:eastAsia="Times New Roman" w:hAnsi="Times New Roman" w:hint="eastAsia"/>
          <w:sz w:val="22"/>
          <w:szCs w:val="24"/>
        </w:rPr>
        <w:t xml:space="preserve">                                    Input and Outcome, Data Utilization, Allocation Formula</w:t>
      </w:r>
    </w:p>
    <w:p w14:paraId="13477113" w14:textId="77777777" w:rsidR="00044F41" w:rsidRDefault="00044F41">
      <w:pPr>
        <w:spacing w:after="0" w:line="240" w:lineRule="auto"/>
        <w:rPr>
          <w:rFonts w:ascii="Times New Roman" w:eastAsia="Times New Roman" w:hAnsi="Times New Roman"/>
          <w:sz w:val="22"/>
          <w:szCs w:val="24"/>
        </w:rPr>
      </w:pPr>
    </w:p>
    <w:sectPr w:rsidR="00044F41">
      <w:pgSz w:w="11906" w:h="16838"/>
      <w:pgMar w:top="1701" w:right="1440" w:bottom="1440" w:left="1440" w:header="851" w:footer="992"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bordersDoNotSurroundHeader/>
  <w:bordersDoNotSurroundFooter/>
  <w:hideGrammaticalErrors/>
  <w:proofState w:spelling="clean"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4F41"/>
    <w:rsid w:val="00044F41"/>
    <w:rsid w:val="000A40E6"/>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39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87" w:unhideWhenUsed="1"/>
    <w:lsdException w:name="toc 2" w:semiHidden="1" w:uiPriority="87" w:unhideWhenUsed="1"/>
    <w:lsdException w:name="toc 3" w:semiHidden="1" w:uiPriority="87" w:unhideWhenUsed="1"/>
    <w:lsdException w:name="toc 4" w:semiHidden="1" w:uiPriority="87" w:unhideWhenUsed="1"/>
    <w:lsdException w:name="toc 5" w:semiHidden="1" w:uiPriority="87" w:unhideWhenUsed="1"/>
    <w:lsdException w:name="toc 6" w:semiHidden="1" w:uiPriority="87" w:unhideWhenUsed="1"/>
    <w:lsdException w:name="toc 7" w:semiHidden="1" w:uiPriority="87" w:unhideWhenUsed="1"/>
    <w:lsdException w:name="toc 8" w:semiHidden="1" w:uiPriority="87" w:unhideWhenUsed="1"/>
    <w:lsdException w:name="toc 9" w:semiHidden="1" w:uiPriority="87"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83"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iPriority="99" w:unhideWhenUsed="1"/>
    <w:lsdException w:name="List Number" w:semiHidden="1" w:uiPriority="99" w:unhideWhenUsed="1"/>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22"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23"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52" w:qFormat="1"/>
    <w:lsdException w:name="Emphasis" w:uiPriority="5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uiPriority="99"/>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uiPriority="99"/>
    <w:lsdException w:name="Table Subtle 2" w:semiHidden="1" w:uiPriority="99" w:unhideWhenUsed="1"/>
    <w:lsdException w:name="Table Web 1" w:semiHidden="1" w:uiPriority="99" w:unhideWhenUsed="1"/>
    <w:lsdException w:name="Table Web 2" w:uiPriority="99"/>
    <w:lsdException w:name="Table Web 3" w:uiPriority="99"/>
    <w:lsdException w:name="Balloon Text" w:semiHidden="1" w:uiPriority="99" w:unhideWhenUsed="1"/>
    <w:lsdException w:name="Table Grid" w:uiPriority="87"/>
    <w:lsdException w:name="Table Theme" w:semiHidden="1" w:uiPriority="99"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uiPriority="99"/>
    <w:lsdException w:name="List Paragraph" w:uiPriority="82" w:qFormat="1"/>
    <w:lsdException w:name="Quote" w:uiPriority="65" w:qFormat="1"/>
    <w:lsdException w:name="Intense Quote" w:uiPriority="72"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Subtle Emphasis" w:uiPriority="37" w:qFormat="1"/>
    <w:lsdException w:name="Intense Emphasis" w:uiPriority="51" w:qFormat="1"/>
    <w:lsdException w:name="Subtle Reference" w:uiPriority="73" w:qFormat="1"/>
    <w:lsdException w:name="Intense Reference" w:uiPriority="80" w:qFormat="1"/>
    <w:lsdException w:name="Book Title" w:uiPriority="81" w:qFormat="1"/>
    <w:lsdException w:name="Bibliography" w:semiHidden="1" w:uiPriority="85" w:unhideWhenUsed="1"/>
    <w:lsdException w:name="TOC Heading" w:semiHidden="1" w:uiPriority="87" w:unhideWhenUsed="1" w:qFormat="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Hancom Office">
  <a:themeElements>
    <a:clrScheme name="Hancom Office">
      <a:dk1>
        <a:sysClr val="windowText" lastClr="000000"/>
      </a:dk1>
      <a:lt1>
        <a:sysClr val="window" lastClr="FFFFFF"/>
      </a:lt1>
      <a:dk2>
        <a:srgbClr val="3A3C84"/>
      </a:dk2>
      <a:lt2>
        <a:srgbClr val="FAF3DB"/>
      </a:lt2>
      <a:accent1>
        <a:srgbClr val="6182D6"/>
      </a:accent1>
      <a:accent2>
        <a:srgbClr val="FF843A"/>
      </a:accent2>
      <a:accent3>
        <a:srgbClr val="B2B2B2"/>
      </a:accent3>
      <a:accent4>
        <a:srgbClr val="FFD700"/>
      </a:accent4>
      <a:accent5>
        <a:srgbClr val="289B6E"/>
      </a:accent5>
      <a:accent6>
        <a:srgbClr val="9D5CBB"/>
      </a:accent6>
      <a:hlink>
        <a:srgbClr val="0000FF"/>
      </a:hlink>
      <a:folHlink>
        <a:srgbClr val="800080"/>
      </a:folHlink>
    </a:clrScheme>
    <a:fontScheme name="Hancom Office">
      <a:majorFont>
        <a:latin typeface="Malgun Gothic"/>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Malgun Gothic"/>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Hancom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1057</Words>
  <Characters>6030</Characters>
  <Application>Microsoft Office Word</Application>
  <DocSecurity>0</DocSecurity>
  <Lines>50</Lines>
  <Paragraphs>14</Paragraphs>
  <ScaleCrop>false</ScaleCrop>
  <LinksUpToDate>false</LinksUpToDate>
  <CharactersWithSpaces>7073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2021-10-05T04:47:00Z</dcterms:created>
  <dcterms:modified xsi:type="dcterms:W3CDTF">2021-10-05T04:47:00Z</dcterms:modified>
  <cp:version>1100.0100.01</cp:version>
</cp:coreProperties>
</file>