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C0529" w:rsidRDefault="000C0529" w:rsidP="000C0529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color w:val="111111"/>
          <w:kern w:val="0"/>
          <w:sz w:val="21"/>
          <w:szCs w:val="21"/>
        </w:rPr>
      </w:pPr>
      <w:hyperlink r:id="rId4" w:tgtFrame="_blank" w:history="1">
        <w:r w:rsidRPr="000C0529">
          <w:rPr>
            <w:rFonts w:ascii="맑은 고딕" w:eastAsia="맑은 고딕" w:hAnsi="맑은 고딕" w:cs="굴림" w:hint="eastAsia"/>
            <w:color w:val="0000FF"/>
            <w:kern w:val="0"/>
            <w:sz w:val="21"/>
            <w:szCs w:val="21"/>
          </w:rPr>
          <w:t>Educational Policy Current Issue</w:t>
        </w:r>
      </w:hyperlink>
      <w:bookmarkStart w:id="0" w:name="_GoBack"/>
      <w:bookmarkEnd w:id="0"/>
    </w:p>
    <w:p w:rsidR="000C0529" w:rsidRPr="000C0529" w:rsidRDefault="000C0529" w:rsidP="000C0529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111111"/>
          <w:kern w:val="0"/>
          <w:sz w:val="21"/>
          <w:szCs w:val="21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6"/>
      </w:tblGrid>
      <w:tr w:rsidR="000C0529" w:rsidRPr="000C0529" w:rsidTr="000C0529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C0529" w:rsidRPr="000C0529" w:rsidRDefault="000C0529" w:rsidP="000C0529">
            <w:pPr>
              <w:widowControl/>
              <w:autoSpaceDE/>
              <w:autoSpaceDN/>
              <w:spacing w:after="0" w:line="240" w:lineRule="auto"/>
              <w:jc w:val="left"/>
              <w:outlineLvl w:val="2"/>
              <w:rPr>
                <w:rFonts w:ascii="Arial" w:eastAsia="굴림" w:hAnsi="Arial" w:cs="Arial" w:hint="eastAsia"/>
                <w:color w:val="006ACC"/>
                <w:kern w:val="0"/>
                <w:sz w:val="27"/>
                <w:szCs w:val="27"/>
              </w:rPr>
            </w:pPr>
            <w:hyperlink r:id="rId5" w:tgtFrame="_blank" w:history="1">
              <w:r w:rsidRPr="000C0529">
                <w:rPr>
                  <w:rFonts w:ascii="Arial" w:eastAsia="굴림" w:hAnsi="Arial" w:cs="Arial"/>
                  <w:b/>
                  <w:bCs/>
                  <w:color w:val="0000FF"/>
                  <w:kern w:val="0"/>
                  <w:sz w:val="27"/>
                  <w:szCs w:val="27"/>
                </w:rPr>
                <w:t>Perpetuating Inequalities: The Role of Political Distraction in Education Policy</w:t>
              </w:r>
            </w:hyperlink>
          </w:p>
          <w:p w:rsidR="000C0529" w:rsidRPr="000C0529" w:rsidRDefault="000C0529" w:rsidP="000C0529">
            <w:pPr>
              <w:widowControl/>
              <w:autoSpaceDE/>
              <w:autoSpaceDN/>
              <w:spacing w:after="0" w:line="240" w:lineRule="auto"/>
              <w:jc w:val="left"/>
              <w:outlineLvl w:val="2"/>
              <w:rPr>
                <w:rFonts w:ascii="Arial" w:eastAsia="굴림" w:hAnsi="Arial" w:cs="Arial"/>
                <w:color w:val="006ACC"/>
                <w:kern w:val="0"/>
                <w:sz w:val="27"/>
                <w:szCs w:val="27"/>
              </w:rPr>
            </w:pPr>
          </w:p>
          <w:p w:rsidR="000C0529" w:rsidRPr="000C0529" w:rsidRDefault="000C0529" w:rsidP="000C0529">
            <w:pPr>
              <w:widowControl/>
              <w:autoSpaceDE/>
              <w:autoSpaceDN/>
              <w:spacing w:after="0" w:line="240" w:lineRule="auto"/>
              <w:jc w:val="left"/>
              <w:outlineLvl w:val="2"/>
              <w:rPr>
                <w:rFonts w:ascii="Arial" w:eastAsia="굴림" w:hAnsi="Arial" w:cs="Arial"/>
                <w:color w:val="006ACC"/>
                <w:kern w:val="0"/>
                <w:sz w:val="27"/>
                <w:szCs w:val="27"/>
              </w:rPr>
            </w:pPr>
            <w:hyperlink r:id="rId6" w:tgtFrame="_blank" w:history="1">
              <w:r w:rsidRPr="000C0529">
                <w:rPr>
                  <w:rFonts w:ascii="Arial" w:eastAsia="굴림" w:hAnsi="Arial" w:cs="Arial"/>
                  <w:b/>
                  <w:bCs/>
                  <w:color w:val="0000FF"/>
                  <w:kern w:val="0"/>
                  <w:sz w:val="27"/>
                  <w:szCs w:val="27"/>
                </w:rPr>
                <w:t>The Retention of Educators of Color Amidst Institutionalized Racism</w:t>
              </w:r>
            </w:hyperlink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66"/>
            </w:tblGrid>
            <w:tr w:rsidR="000C0529" w:rsidRPr="000C0529" w:rsidTr="000C0529">
              <w:trPr>
                <w:tblCellSpacing w:w="15" w:type="dxa"/>
              </w:trPr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hideMark/>
                </w:tcPr>
                <w:p w:rsidR="000C0529" w:rsidRPr="000C0529" w:rsidRDefault="000C0529" w:rsidP="000C0529">
                  <w:pPr>
                    <w:widowControl/>
                    <w:autoSpaceDE/>
                    <w:autoSpaceDN/>
                    <w:spacing w:after="0" w:line="240" w:lineRule="auto"/>
                    <w:jc w:val="left"/>
                    <w:outlineLvl w:val="2"/>
                    <w:rPr>
                      <w:rFonts w:ascii="Arial" w:eastAsia="굴림" w:hAnsi="Arial" w:cs="Arial"/>
                      <w:color w:val="006ACC"/>
                      <w:kern w:val="0"/>
                      <w:sz w:val="27"/>
                      <w:szCs w:val="27"/>
                    </w:rPr>
                  </w:pPr>
                  <w:hyperlink r:id="rId7" w:tgtFrame="_blank" w:history="1">
                    <w:r w:rsidRPr="000C0529">
                      <w:rPr>
                        <w:rFonts w:ascii="Arial" w:eastAsia="굴림" w:hAnsi="Arial" w:cs="Arial"/>
                        <w:b/>
                        <w:bCs/>
                        <w:color w:val="0000FF"/>
                        <w:kern w:val="0"/>
                        <w:sz w:val="27"/>
                        <w:szCs w:val="27"/>
                      </w:rPr>
                      <w:t>Masking Attendance: How Education Policy Distracts from the Wicked Problem(s) of Chronic Absenteeism</w:t>
                    </w:r>
                  </w:hyperlink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906"/>
                  </w:tblGrid>
                  <w:tr w:rsidR="000C0529" w:rsidRPr="000C0529" w:rsidTr="000C0529">
                    <w:trPr>
                      <w:tblCellSpacing w:w="15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hideMark/>
                      </w:tcPr>
                      <w:p w:rsidR="000C0529" w:rsidRPr="000C0529" w:rsidRDefault="000C0529" w:rsidP="000C0529">
                        <w:pPr>
                          <w:widowControl/>
                          <w:autoSpaceDE/>
                          <w:autoSpaceDN/>
                          <w:spacing w:after="0" w:line="240" w:lineRule="auto"/>
                          <w:jc w:val="left"/>
                          <w:outlineLvl w:val="2"/>
                          <w:rPr>
                            <w:rFonts w:ascii="Arial" w:eastAsia="굴림" w:hAnsi="Arial" w:cs="Arial"/>
                            <w:color w:val="006ACC"/>
                            <w:kern w:val="0"/>
                            <w:sz w:val="27"/>
                            <w:szCs w:val="27"/>
                          </w:rPr>
                        </w:pPr>
                        <w:hyperlink r:id="rId8" w:tgtFrame="_blank" w:history="1">
                          <w:r w:rsidRPr="000C0529">
                            <w:rPr>
                              <w:rFonts w:ascii="Arial" w:eastAsia="굴림" w:hAnsi="Arial" w:cs="Arial"/>
                              <w:b/>
                              <w:bCs/>
                              <w:color w:val="0000FF"/>
                              <w:kern w:val="0"/>
                              <w:sz w:val="27"/>
                              <w:szCs w:val="27"/>
                            </w:rPr>
                            <w:t>“The Price of Disaster”: The Charter School Authorization Process in Post-Katrina New Orleans</w:t>
                          </w:r>
                        </w:hyperlink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846"/>
                        </w:tblGrid>
                        <w:tr w:rsidR="000C0529" w:rsidRPr="000C0529" w:rsidTr="000C0529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p w:rsidR="000C0529" w:rsidRPr="000C0529" w:rsidRDefault="000C0529" w:rsidP="000C0529">
                              <w:pPr>
                                <w:widowControl/>
                                <w:autoSpaceDE/>
                                <w:autoSpaceDN/>
                                <w:spacing w:after="0" w:line="240" w:lineRule="auto"/>
                                <w:jc w:val="left"/>
                                <w:outlineLvl w:val="2"/>
                                <w:rPr>
                                  <w:rFonts w:ascii="Arial" w:eastAsia="굴림" w:hAnsi="Arial" w:cs="Arial"/>
                                  <w:color w:val="006ACC"/>
                                  <w:kern w:val="0"/>
                                  <w:sz w:val="27"/>
                                  <w:szCs w:val="27"/>
                                </w:rPr>
                              </w:pPr>
                              <w:hyperlink r:id="rId9" w:tgtFrame="_blank" w:history="1">
                                <w:r w:rsidRPr="000C0529">
                                  <w:rPr>
                                    <w:rFonts w:ascii="Arial" w:eastAsia="굴림" w:hAnsi="Arial" w:cs="Arial"/>
                                    <w:b/>
                                    <w:bCs/>
                                    <w:color w:val="0000FF"/>
                                    <w:kern w:val="0"/>
                                    <w:sz w:val="27"/>
                                    <w:szCs w:val="27"/>
                                  </w:rPr>
                                  <w:t>White Fear, White Flight, the Rules of Racial Standing and Whiteness as Property: Why Two Critical Race Theory Constructs are Better Than One</w:t>
                                </w:r>
                              </w:hyperlink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86"/>
                              </w:tblGrid>
                              <w:tr w:rsidR="000C0529" w:rsidRPr="000C0529" w:rsidTr="000C0529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p w:rsidR="000C0529" w:rsidRPr="000C0529" w:rsidRDefault="000C0529" w:rsidP="000C0529">
                                    <w:pPr>
                                      <w:widowControl/>
                                      <w:wordWrap/>
                                      <w:autoSpaceDE/>
                                      <w:autoSpaceDN/>
                                      <w:spacing w:before="100" w:beforeAutospacing="1" w:after="100" w:afterAutospacing="1" w:line="240" w:lineRule="auto"/>
                                      <w:jc w:val="left"/>
                                      <w:outlineLvl w:val="2"/>
                                      <w:rPr>
                                        <w:rFonts w:ascii="Arial" w:eastAsia="굴림" w:hAnsi="Arial" w:cs="Arial"/>
                                        <w:color w:val="006ACC"/>
                                        <w:kern w:val="0"/>
                                        <w:sz w:val="27"/>
                                        <w:szCs w:val="27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0C0529" w:rsidRPr="000C0529" w:rsidRDefault="000C0529" w:rsidP="000C0529">
                              <w:pPr>
                                <w:widowControl/>
                                <w:autoSpaceDE/>
                                <w:autoSpaceDN/>
                                <w:spacing w:after="0" w:line="240" w:lineRule="auto"/>
                                <w:jc w:val="left"/>
                                <w:outlineLvl w:val="2"/>
                                <w:rPr>
                                  <w:rFonts w:ascii="Arial" w:eastAsia="굴림" w:hAnsi="Arial" w:cs="Arial"/>
                                  <w:color w:val="006ACC"/>
                                  <w:kern w:val="0"/>
                                  <w:sz w:val="27"/>
                                  <w:szCs w:val="27"/>
                                </w:rPr>
                              </w:pPr>
                              <w:r w:rsidRPr="000C0529">
                                <w:rPr>
                                  <w:rFonts w:ascii="Arial" w:eastAsia="굴림" w:hAnsi="Arial" w:cs="Arial"/>
                                  <w:b/>
                                  <w:bCs/>
                                  <w:color w:val="006ACC"/>
                                  <w:kern w:val="0"/>
                                  <w:sz w:val="27"/>
                                  <w:szCs w:val="27"/>
                                </w:rPr>
                                <w:br/>
                              </w:r>
                              <w:hyperlink r:id="rId10" w:tgtFrame="_blank" w:history="1">
                                <w:r w:rsidRPr="000C0529">
                                  <w:rPr>
                                    <w:rFonts w:ascii="Arial" w:eastAsia="굴림" w:hAnsi="Arial" w:cs="Arial"/>
                                    <w:b/>
                                    <w:bCs/>
                                    <w:color w:val="0000FF"/>
                                    <w:kern w:val="0"/>
                                    <w:sz w:val="27"/>
                                    <w:szCs w:val="27"/>
                                  </w:rPr>
                                  <w:t>Beyond Bathroom Bills and the Gender Identity Debate: Complicating the Policy Conversation About Supporting Trans Students in Schools</w:t>
                                </w:r>
                              </w:hyperlink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86"/>
                              </w:tblGrid>
                              <w:tr w:rsidR="000C0529" w:rsidRPr="000C0529" w:rsidTr="000C0529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  <w:hideMark/>
                                  </w:tcPr>
                                  <w:p w:rsidR="000C0529" w:rsidRPr="000C0529" w:rsidRDefault="000C0529" w:rsidP="000C0529">
                                    <w:pPr>
                                      <w:widowControl/>
                                      <w:autoSpaceDE/>
                                      <w:autoSpaceDN/>
                                      <w:spacing w:after="0" w:line="240" w:lineRule="auto"/>
                                      <w:jc w:val="left"/>
                                      <w:outlineLvl w:val="2"/>
                                      <w:rPr>
                                        <w:rFonts w:ascii="Arial" w:eastAsia="굴림" w:hAnsi="Arial" w:cs="Arial"/>
                                        <w:color w:val="006ACC"/>
                                        <w:kern w:val="0"/>
                                        <w:sz w:val="27"/>
                                        <w:szCs w:val="27"/>
                                      </w:rPr>
                                    </w:pPr>
                                    <w:hyperlink r:id="rId11" w:tgtFrame="_blank" w:history="1">
                                      <w:r w:rsidRPr="000C0529">
                                        <w:rPr>
                                          <w:rFonts w:ascii="Arial" w:eastAsia="굴림" w:hAnsi="Arial" w:cs="Arial"/>
                                          <w:b/>
                                          <w:bCs/>
                                          <w:color w:val="0000FF"/>
                                          <w:kern w:val="0"/>
                                          <w:sz w:val="27"/>
                                          <w:szCs w:val="27"/>
                                        </w:rPr>
                                        <w:t>A Critical Race Analysis of University Acts of Racial “Redress”: The Limited Potential of Racial Symbols</w:t>
                                      </w:r>
                                    </w:hyperlink>
                                  </w:p>
                                  <w:tbl>
                                    <w:tblPr>
                                      <w:tblW w:w="5000" w:type="pct"/>
                                      <w:tblCellSpacing w:w="15" w:type="dxa"/>
                                      <w:tblCellMar>
                                        <w:top w:w="15" w:type="dxa"/>
                                        <w:left w:w="15" w:type="dxa"/>
                                        <w:bottom w:w="15" w:type="dxa"/>
                                        <w:right w:w="15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0C0529" w:rsidRPr="000C0529" w:rsidTr="000C0529">
                                      <w:trPr>
                                        <w:tblCellSpacing w:w="15" w:type="dxa"/>
                                      </w:trPr>
                                      <w:tc>
                                        <w:tcPr>
                                          <w:tcW w:w="0" w:type="auto"/>
                                          <w:vAlign w:val="center"/>
                                          <w:hideMark/>
                                        </w:tcPr>
                                        <w:p w:rsidR="000C0529" w:rsidRPr="000C0529" w:rsidRDefault="000C0529" w:rsidP="000C0529">
                                          <w:pPr>
                                            <w:widowControl/>
                                            <w:wordWrap/>
                                            <w:autoSpaceDE/>
                                            <w:autoSpaceDN/>
                                            <w:spacing w:before="100" w:beforeAutospacing="1" w:after="100" w:afterAutospacing="1" w:line="240" w:lineRule="auto"/>
                                            <w:jc w:val="left"/>
                                            <w:outlineLvl w:val="2"/>
                                            <w:rPr>
                                              <w:rFonts w:ascii="Arial" w:eastAsia="굴림" w:hAnsi="Arial" w:cs="Arial"/>
                                              <w:color w:val="006ACC"/>
                                              <w:kern w:val="0"/>
                                              <w:sz w:val="27"/>
                                              <w:szCs w:val="27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0C0529" w:rsidRPr="000C0529" w:rsidRDefault="000C0529" w:rsidP="000C0529">
                                    <w:pPr>
                                      <w:widowControl/>
                                      <w:autoSpaceDE/>
                                      <w:autoSpaceDN/>
                                      <w:spacing w:after="0" w:line="240" w:lineRule="auto"/>
                                      <w:jc w:val="left"/>
                                      <w:outlineLvl w:val="2"/>
                                      <w:rPr>
                                        <w:rFonts w:ascii="Arial" w:eastAsia="굴림" w:hAnsi="Arial" w:cs="Arial"/>
                                        <w:color w:val="006ACC"/>
                                        <w:kern w:val="0"/>
                                        <w:sz w:val="27"/>
                                        <w:szCs w:val="27"/>
                                      </w:rPr>
                                    </w:pPr>
                                    <w:r w:rsidRPr="000C0529">
                                      <w:rPr>
                                        <w:rFonts w:ascii="Arial" w:eastAsia="굴림" w:hAnsi="Arial" w:cs="Arial"/>
                                        <w:b/>
                                        <w:bCs/>
                                        <w:color w:val="006ACC"/>
                                        <w:kern w:val="0"/>
                                        <w:sz w:val="27"/>
                                        <w:szCs w:val="27"/>
                                      </w:rPr>
                                      <w:br/>
                                    </w:r>
                                    <w:hyperlink r:id="rId12" w:tgtFrame="_blank" w:history="1">
                                      <w:r w:rsidRPr="000C0529">
                                        <w:rPr>
                                          <w:rFonts w:ascii="Arial" w:eastAsia="굴림" w:hAnsi="Arial" w:cs="Arial"/>
                                          <w:b/>
                                          <w:bCs/>
                                          <w:color w:val="0000FF"/>
                                          <w:kern w:val="0"/>
                                          <w:sz w:val="27"/>
                                          <w:szCs w:val="27"/>
                                        </w:rPr>
                                        <w:t>Racial Misdirection: How Anti-affirmative Action Crusaders use Distraction and Spectacle to Promote Incomplete Conceptions of Merit and Perpetuate Racial Inequality</w:t>
                                      </w:r>
                                    </w:hyperlink>
                                  </w:p>
                                  <w:tbl>
                                    <w:tblPr>
                                      <w:tblW w:w="5000" w:type="pct"/>
                                      <w:tblCellSpacing w:w="15" w:type="dxa"/>
                                      <w:tblCellMar>
                                        <w:top w:w="15" w:type="dxa"/>
                                        <w:left w:w="15" w:type="dxa"/>
                                        <w:bottom w:w="15" w:type="dxa"/>
                                        <w:right w:w="15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0C0529" w:rsidRPr="000C0529" w:rsidTr="000C0529">
                                      <w:trPr>
                                        <w:tblCellSpacing w:w="15" w:type="dxa"/>
                                      </w:trPr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  <w:hideMark/>
                                        </w:tcPr>
                                        <w:p w:rsidR="000C0529" w:rsidRPr="000C0529" w:rsidRDefault="000C0529" w:rsidP="000C0529">
                                          <w:pPr>
                                            <w:widowControl/>
                                            <w:autoSpaceDE/>
                                            <w:autoSpaceDN/>
                                            <w:spacing w:after="0" w:line="240" w:lineRule="auto"/>
                                            <w:jc w:val="left"/>
                                            <w:outlineLvl w:val="2"/>
                                            <w:rPr>
                                              <w:rFonts w:ascii="Arial" w:eastAsia="굴림" w:hAnsi="Arial" w:cs="Arial"/>
                                              <w:color w:val="006ACC"/>
                                              <w:kern w:val="0"/>
                                              <w:sz w:val="27"/>
                                              <w:szCs w:val="27"/>
                                            </w:rPr>
                                          </w:pPr>
                                          <w:hyperlink r:id="rId13" w:tgtFrame="_blank" w:history="1">
                                            <w:r w:rsidRPr="000C0529">
                                              <w:rPr>
                                                <w:rFonts w:ascii="Arial" w:eastAsia="굴림" w:hAnsi="Arial" w:cs="Arial"/>
                                                <w:b/>
                                                <w:bCs/>
                                                <w:color w:val="0000FF"/>
                                                <w:kern w:val="0"/>
                                                <w:sz w:val="27"/>
                                                <w:szCs w:val="27"/>
                                              </w:rPr>
                                              <w:t>Policy as Punishment and Distraction: The Double Helix of Racialized Sexual Harassment of Black Girls</w:t>
                                            </w:r>
                                          </w:hyperlink>
                                        </w:p>
                                        <w:tbl>
                                          <w:tblPr>
                                            <w:tblW w:w="5000" w:type="pct"/>
                                            <w:tblCellSpacing w:w="15" w:type="dxa"/>
                                            <w:tblCellMar>
                                              <w:top w:w="15" w:type="dxa"/>
                                              <w:left w:w="15" w:type="dxa"/>
                                              <w:bottom w:w="15" w:type="dxa"/>
                                              <w:right w:w="15" w:type="dxa"/>
                                            </w:tblCellMar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8666"/>
                                          </w:tblGrid>
                                          <w:tr w:rsidR="000C0529" w:rsidRPr="000C0529" w:rsidTr="000C0529">
                                            <w:trPr>
                                              <w:tblCellSpacing w:w="15" w:type="dxa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Align w:val="center"/>
                                                <w:hideMark/>
                                              </w:tcPr>
                                              <w:p w:rsidR="000C0529" w:rsidRPr="000C0529" w:rsidRDefault="000C0529" w:rsidP="000C0529">
                                                <w:pPr>
                                                  <w:widowControl/>
                                                  <w:wordWrap/>
                                                  <w:autoSpaceDE/>
                                                  <w:autoSpaceDN/>
                                                  <w:spacing w:before="100" w:beforeAutospacing="1" w:after="100" w:afterAutospacing="1" w:line="240" w:lineRule="auto"/>
                                                  <w:jc w:val="left"/>
                                                  <w:outlineLvl w:val="2"/>
                                                  <w:rPr>
                                                    <w:rFonts w:ascii="Arial" w:eastAsia="굴림" w:hAnsi="Arial" w:cs="Arial"/>
                                                    <w:color w:val="006ACC"/>
                                                    <w:kern w:val="0"/>
                                                    <w:sz w:val="27"/>
                                                    <w:szCs w:val="27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</w:tbl>
                                        <w:p w:rsidR="000C0529" w:rsidRPr="000C0529" w:rsidRDefault="000C0529" w:rsidP="000C0529">
                                          <w:pPr>
                                            <w:widowControl/>
                                            <w:autoSpaceDE/>
                                            <w:autoSpaceDN/>
                                            <w:spacing w:after="0" w:line="240" w:lineRule="auto"/>
                                            <w:jc w:val="left"/>
                                            <w:outlineLvl w:val="2"/>
                                            <w:rPr>
                                              <w:rFonts w:ascii="Arial" w:eastAsia="굴림" w:hAnsi="Arial" w:cs="Arial"/>
                                              <w:color w:val="006ACC"/>
                                              <w:kern w:val="0"/>
                                              <w:sz w:val="27"/>
                                              <w:szCs w:val="27"/>
                                            </w:rPr>
                                          </w:pPr>
                                          <w:r w:rsidRPr="000C0529">
                                            <w:rPr>
                                              <w:rFonts w:ascii="Arial" w:eastAsia="굴림" w:hAnsi="Arial" w:cs="Arial"/>
                                              <w:b/>
                                              <w:bCs/>
                                              <w:color w:val="006ACC"/>
                                              <w:kern w:val="0"/>
                                              <w:sz w:val="27"/>
                                              <w:szCs w:val="27"/>
                                            </w:rPr>
                                            <w:br/>
                                          </w:r>
                                          <w:hyperlink r:id="rId14" w:tgtFrame="_blank" w:history="1">
                                            <w:r w:rsidRPr="000C0529">
                                              <w:rPr>
                                                <w:rFonts w:ascii="Arial" w:eastAsia="굴림" w:hAnsi="Arial" w:cs="Arial"/>
                                                <w:b/>
                                                <w:bCs/>
                                                <w:color w:val="0000FF"/>
                                                <w:kern w:val="0"/>
                                                <w:sz w:val="27"/>
                                                <w:szCs w:val="27"/>
                                              </w:rPr>
                                              <w:t>Distractions and Defractions: Using Parental Rights to Fight Against the Educational Rights of Transgender, Nonbinary, and Gender Diverse Students</w:t>
                                            </w:r>
                                          </w:hyperlink>
                                        </w:p>
                                      </w:tc>
                                    </w:tr>
                                    <w:tr w:rsidR="000C0529" w:rsidRPr="000C0529" w:rsidTr="000C0529">
                                      <w:trPr>
                                        <w:tblCellSpacing w:w="15" w:type="dxa"/>
                                      </w:trPr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  <w:hideMark/>
                                        </w:tcPr>
                                        <w:p w:rsidR="000C0529" w:rsidRPr="000C0529" w:rsidRDefault="000C0529" w:rsidP="000C0529">
                                          <w:pPr>
                                            <w:widowControl/>
                                            <w:wordWrap/>
                                            <w:autoSpaceDE/>
                                            <w:autoSpaceDN/>
                                            <w:spacing w:before="100" w:beforeAutospacing="1" w:after="100" w:afterAutospacing="1" w:line="240" w:lineRule="auto"/>
                                            <w:jc w:val="left"/>
                                            <w:outlineLvl w:val="2"/>
                                            <w:rPr>
                                              <w:rFonts w:ascii="Arial" w:eastAsia="굴림" w:hAnsi="Arial" w:cs="Arial"/>
                                              <w:color w:val="111111"/>
                                              <w:kern w:val="0"/>
                                              <w:sz w:val="27"/>
                                              <w:szCs w:val="27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0C0529" w:rsidRPr="000C0529" w:rsidRDefault="000C0529" w:rsidP="000C0529">
                                    <w:pPr>
                                      <w:widowControl/>
                                      <w:autoSpaceDE/>
                                      <w:autoSpaceDN/>
                                      <w:spacing w:after="0" w:line="240" w:lineRule="auto"/>
                                      <w:jc w:val="left"/>
                                      <w:outlineLvl w:val="2"/>
                                      <w:rPr>
                                        <w:rFonts w:ascii="Arial" w:eastAsia="굴림" w:hAnsi="Arial" w:cs="Arial"/>
                                        <w:color w:val="006ACC"/>
                                        <w:kern w:val="0"/>
                                        <w:sz w:val="27"/>
                                        <w:szCs w:val="27"/>
                                      </w:rPr>
                                    </w:pPr>
                                    <w:hyperlink r:id="rId15" w:tgtFrame="_blank" w:history="1">
                                      <w:r w:rsidRPr="000C0529">
                                        <w:rPr>
                                          <w:rFonts w:ascii="Arial" w:eastAsia="굴림" w:hAnsi="Arial" w:cs="Arial"/>
                                          <w:b/>
                                          <w:bCs/>
                                          <w:color w:val="0000FF"/>
                                          <w:kern w:val="0"/>
                                          <w:sz w:val="27"/>
                                          <w:szCs w:val="27"/>
                                        </w:rPr>
                                        <w:t>A Reflection on Engaged Scholarship</w:t>
                                      </w:r>
                                    </w:hyperlink>
                                  </w:p>
                                </w:tc>
                              </w:tr>
                            </w:tbl>
                            <w:p w:rsidR="000C0529" w:rsidRPr="000C0529" w:rsidRDefault="000C0529" w:rsidP="000C0529">
                              <w:pPr>
                                <w:widowControl/>
                                <w:autoSpaceDE/>
                                <w:autoSpaceDN/>
                                <w:spacing w:after="0" w:line="240" w:lineRule="auto"/>
                                <w:jc w:val="left"/>
                                <w:rPr>
                                  <w:rFonts w:ascii="Arial" w:eastAsia="굴림" w:hAnsi="Arial" w:cs="Arial"/>
                                  <w:b/>
                                  <w:bCs/>
                                  <w:color w:val="111111"/>
                                  <w:kern w:val="0"/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</w:tr>
                      </w:tbl>
                      <w:p w:rsidR="000C0529" w:rsidRPr="000C0529" w:rsidRDefault="000C0529" w:rsidP="000C0529">
                        <w:pPr>
                          <w:widowControl/>
                          <w:autoSpaceDE/>
                          <w:autoSpaceDN/>
                          <w:spacing w:after="0" w:line="240" w:lineRule="auto"/>
                          <w:jc w:val="left"/>
                          <w:rPr>
                            <w:rFonts w:ascii="Arial" w:eastAsia="굴림" w:hAnsi="Arial" w:cs="Arial"/>
                            <w:color w:val="111111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0C0529" w:rsidRPr="000C0529" w:rsidRDefault="000C0529" w:rsidP="000C0529">
                  <w:pPr>
                    <w:widowControl/>
                    <w:autoSpaceDE/>
                    <w:autoSpaceDN/>
                    <w:spacing w:after="0" w:line="240" w:lineRule="auto"/>
                    <w:jc w:val="left"/>
                    <w:rPr>
                      <w:rFonts w:ascii="Arial" w:eastAsia="굴림" w:hAnsi="Arial" w:cs="Arial"/>
                      <w:color w:val="111111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0C0529" w:rsidRPr="000C0529" w:rsidRDefault="000C0529" w:rsidP="000C0529">
            <w:pPr>
              <w:widowControl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111111"/>
                <w:kern w:val="0"/>
                <w:sz w:val="24"/>
                <w:szCs w:val="24"/>
              </w:rPr>
            </w:pPr>
          </w:p>
        </w:tc>
      </w:tr>
    </w:tbl>
    <w:p w:rsidR="00E8443B" w:rsidRDefault="00E8443B"/>
    <w:sectPr w:rsidR="00E8443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0529"/>
    <w:rsid w:val="000C0529"/>
    <w:rsid w:val="00E84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38A300"/>
  <w15:chartTrackingRefBased/>
  <w15:docId w15:val="{823B466F-CFB2-4760-B8BA-07C36A609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3">
    <w:name w:val="heading 3"/>
    <w:basedOn w:val="a"/>
    <w:link w:val="3Char"/>
    <w:uiPriority w:val="9"/>
    <w:qFormat/>
    <w:rsid w:val="000C0529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2"/>
    </w:pPr>
    <w:rPr>
      <w:rFonts w:ascii="굴림" w:eastAsia="굴림" w:hAnsi="굴림" w:cs="굴림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제목 3 Char"/>
    <w:basedOn w:val="a0"/>
    <w:link w:val="3"/>
    <w:uiPriority w:val="9"/>
    <w:rsid w:val="000C0529"/>
    <w:rPr>
      <w:rFonts w:ascii="굴림" w:eastAsia="굴림" w:hAnsi="굴림" w:cs="굴림"/>
      <w:b/>
      <w:bCs/>
      <w:kern w:val="0"/>
      <w:sz w:val="27"/>
      <w:szCs w:val="27"/>
    </w:rPr>
  </w:style>
  <w:style w:type="character" w:styleId="a3">
    <w:name w:val="Hyperlink"/>
    <w:basedOn w:val="a0"/>
    <w:uiPriority w:val="99"/>
    <w:semiHidden/>
    <w:unhideWhenUsed/>
    <w:rsid w:val="000C052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51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1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161445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167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17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504996">
                      <w:marLeft w:val="0"/>
                      <w:marRight w:val="0"/>
                      <w:marTop w:val="30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813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0091563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0944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6563410">
                                      <w:marLeft w:val="0"/>
                                      <w:marRight w:val="0"/>
                                      <w:marTop w:val="30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43137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1690290">
                                              <w:marLeft w:val="0"/>
                                              <w:marRight w:val="0"/>
                                              <w:marTop w:val="30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42300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5639338">
                                                      <w:marLeft w:val="0"/>
                                                      <w:marRight w:val="0"/>
                                                      <w:marTop w:val="30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ournals.sagepub.com/doi/full/10.1177/0895904820988202" TargetMode="External"/><Relationship Id="rId13" Type="http://schemas.openxmlformats.org/officeDocument/2006/relationships/hyperlink" Target="https://journals.sagepub.com/doi/full/10.1177/0895904820984467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journals.sagepub.com/doi/full/10.1177/0895904820986771" TargetMode="External"/><Relationship Id="rId12" Type="http://schemas.openxmlformats.org/officeDocument/2006/relationships/hyperlink" Target="https://journals.sagepub.com/doi/full/10.1177/0895904820984465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journals.sagepub.com/doi/full/10.1177/0895904820986765" TargetMode="External"/><Relationship Id="rId11" Type="http://schemas.openxmlformats.org/officeDocument/2006/relationships/hyperlink" Target="https://journals.sagepub.com/doi/full/10.1177/0895904820983031" TargetMode="External"/><Relationship Id="rId5" Type="http://schemas.openxmlformats.org/officeDocument/2006/relationships/hyperlink" Target="https://journals.sagepub.com/doi/full/10.1177/0895904820987992" TargetMode="External"/><Relationship Id="rId15" Type="http://schemas.openxmlformats.org/officeDocument/2006/relationships/hyperlink" Target="https://journals.sagepub.com/doi/full/10.1177/0895904820987793" TargetMode="External"/><Relationship Id="rId10" Type="http://schemas.openxmlformats.org/officeDocument/2006/relationships/hyperlink" Target="https://journals.sagepub.com/doi/full/10.1177/0895904820986770" TargetMode="External"/><Relationship Id="rId4" Type="http://schemas.openxmlformats.org/officeDocument/2006/relationships/hyperlink" Target="https://journals.sagepub.com/toc/epxa/current" TargetMode="External"/><Relationship Id="rId9" Type="http://schemas.openxmlformats.org/officeDocument/2006/relationships/hyperlink" Target="https://journals.sagepub.com/doi/full/10.1177/0895904820986772" TargetMode="External"/><Relationship Id="rId14" Type="http://schemas.openxmlformats.org/officeDocument/2006/relationships/hyperlink" Target="https://journals.sagepub.com/doi/full/10.1177/0895904820983033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344</Words>
  <Characters>1963</Characters>
  <Application>Microsoft Office Word</Application>
  <DocSecurity>0</DocSecurity>
  <Lines>16</Lines>
  <Paragraphs>4</Paragraphs>
  <ScaleCrop>false</ScaleCrop>
  <Company/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2021-03-22T01:30:00Z</dcterms:created>
  <dcterms:modified xsi:type="dcterms:W3CDTF">2021-03-22T01:31:00Z</dcterms:modified>
</cp:coreProperties>
</file>