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B22B8" w:rsidRPr="004B22B8" w:rsidRDefault="004B22B8" w:rsidP="004B22B8">
      <w:pPr>
        <w:widowControl/>
        <w:wordWrap/>
        <w:autoSpaceDE/>
        <w:autoSpaceDN/>
        <w:spacing w:after="0" w:line="240" w:lineRule="auto"/>
        <w:jc w:val="left"/>
        <w:rPr>
          <w:rFonts w:ascii="Arial" w:eastAsia="굴림" w:hAnsi="Arial" w:cs="Arial"/>
          <w:color w:val="000000"/>
          <w:kern w:val="0"/>
          <w:sz w:val="18"/>
          <w:szCs w:val="18"/>
        </w:rPr>
      </w:pPr>
    </w:p>
    <w:p w:rsidR="004B22B8" w:rsidRPr="004B22B8" w:rsidRDefault="004B22B8" w:rsidP="004B22B8">
      <w:pPr>
        <w:widowControl/>
        <w:wordWrap/>
        <w:autoSpaceDE/>
        <w:autoSpaceDN/>
        <w:spacing w:before="240" w:after="240" w:line="240" w:lineRule="auto"/>
        <w:jc w:val="left"/>
        <w:outlineLvl w:val="2"/>
        <w:rPr>
          <w:rFonts w:ascii="Arial" w:eastAsia="굴림" w:hAnsi="Arial" w:cs="Arial"/>
          <w:b/>
          <w:bCs/>
          <w:color w:val="000000"/>
          <w:kern w:val="0"/>
          <w:sz w:val="36"/>
          <w:szCs w:val="36"/>
        </w:rPr>
      </w:pPr>
      <w:hyperlink r:id="rId5" w:tgtFrame="_blank" w:history="1">
        <w:r w:rsidRPr="004B22B8">
          <w:rPr>
            <w:rFonts w:ascii="Arial" w:eastAsia="굴림" w:hAnsi="Arial" w:cs="Arial"/>
            <w:b/>
            <w:bCs/>
            <w:color w:val="464646"/>
            <w:kern w:val="0"/>
            <w:sz w:val="36"/>
            <w:szCs w:val="36"/>
          </w:rPr>
          <w:t>Education Administration Quarterly</w:t>
        </w:r>
      </w:hyperlink>
    </w:p>
    <w:p w:rsidR="004B22B8" w:rsidRDefault="004B22B8" w:rsidP="004B22B8">
      <w:pPr>
        <w:widowControl/>
        <w:wordWrap/>
        <w:autoSpaceDE/>
        <w:autoSpaceDN/>
        <w:spacing w:after="0" w:line="240" w:lineRule="auto"/>
        <w:jc w:val="left"/>
        <w:rPr>
          <w:rFonts w:ascii="Arial" w:eastAsia="굴림" w:hAnsi="Arial" w:cs="Arial"/>
          <w:color w:val="000000"/>
          <w:kern w:val="0"/>
          <w:sz w:val="18"/>
          <w:szCs w:val="18"/>
        </w:rPr>
      </w:pPr>
      <w:r w:rsidRPr="004B22B8">
        <w:rPr>
          <w:rFonts w:ascii="Arial" w:eastAsia="굴림" w:hAnsi="Arial" w:cs="Arial"/>
          <w:color w:val="000000"/>
          <w:kern w:val="0"/>
          <w:sz w:val="18"/>
          <w:szCs w:val="18"/>
        </w:rPr>
        <w:t>Volume 56 Issue 5, December 2020</w:t>
      </w:r>
    </w:p>
    <w:p w:rsidR="004B22B8" w:rsidRPr="004B22B8" w:rsidRDefault="004B22B8" w:rsidP="004B22B8">
      <w:pPr>
        <w:widowControl/>
        <w:wordWrap/>
        <w:autoSpaceDE/>
        <w:autoSpaceDN/>
        <w:spacing w:after="0" w:line="240" w:lineRule="auto"/>
        <w:jc w:val="left"/>
        <w:rPr>
          <w:rFonts w:ascii="Arial" w:eastAsia="굴림" w:hAnsi="Arial" w:cs="Arial"/>
          <w:color w:val="000000"/>
          <w:kern w:val="0"/>
          <w:sz w:val="18"/>
          <w:szCs w:val="18"/>
        </w:rPr>
      </w:pPr>
    </w:p>
    <w:p w:rsidR="004B22B8" w:rsidRPr="004B22B8" w:rsidRDefault="004B22B8" w:rsidP="004B22B8">
      <w:pPr>
        <w:widowControl/>
        <w:wordWrap/>
        <w:autoSpaceDE/>
        <w:autoSpaceDN/>
        <w:spacing w:after="0" w:line="240" w:lineRule="auto"/>
        <w:jc w:val="left"/>
        <w:rPr>
          <w:rFonts w:ascii="Arial" w:eastAsia="굴림" w:hAnsi="Arial" w:cs="Arial"/>
          <w:b/>
          <w:color w:val="000000"/>
          <w:kern w:val="0"/>
          <w:sz w:val="22"/>
          <w:szCs w:val="18"/>
        </w:rPr>
      </w:pPr>
      <w:hyperlink r:id="rId6" w:tgtFrame="_blank" w:history="1">
        <w:r w:rsidRPr="004B22B8">
          <w:rPr>
            <w:rFonts w:ascii="Arial" w:eastAsia="굴림" w:hAnsi="Arial" w:cs="Arial"/>
            <w:b/>
            <w:color w:val="464646"/>
            <w:kern w:val="0"/>
            <w:sz w:val="22"/>
            <w:szCs w:val="18"/>
          </w:rPr>
          <w:t>Negotiating Authority in the Ritual of the P</w:t>
        </w:r>
        <w:r w:rsidRPr="004B22B8">
          <w:rPr>
            <w:rFonts w:ascii="Arial" w:eastAsia="굴림" w:hAnsi="Arial" w:cs="Arial"/>
            <w:b/>
            <w:color w:val="464646"/>
            <w:kern w:val="0"/>
            <w:sz w:val="22"/>
            <w:szCs w:val="18"/>
          </w:rPr>
          <w:t>u</w:t>
        </w:r>
        <w:r w:rsidRPr="004B22B8">
          <w:rPr>
            <w:rFonts w:ascii="Arial" w:eastAsia="굴림" w:hAnsi="Arial" w:cs="Arial"/>
            <w:b/>
            <w:color w:val="464646"/>
            <w:kern w:val="0"/>
            <w:sz w:val="22"/>
            <w:szCs w:val="18"/>
          </w:rPr>
          <w:t>blic School Board Meeting</w:t>
        </w:r>
      </w:hyperlink>
    </w:p>
    <w:p w:rsidR="004B22B8" w:rsidRDefault="004B22B8" w:rsidP="004B22B8">
      <w:pPr>
        <w:widowControl/>
        <w:wordWrap/>
        <w:autoSpaceDE/>
        <w:autoSpaceDN/>
        <w:spacing w:after="0" w:line="240" w:lineRule="auto"/>
        <w:jc w:val="left"/>
        <w:rPr>
          <w:rFonts w:ascii="Arial" w:eastAsia="굴림" w:hAnsi="Arial" w:cs="Arial"/>
          <w:color w:val="000000"/>
          <w:kern w:val="0"/>
          <w:sz w:val="18"/>
          <w:szCs w:val="18"/>
        </w:rPr>
      </w:pPr>
    </w:p>
    <w:p w:rsidR="004B22B8" w:rsidRDefault="004B22B8" w:rsidP="004B22B8">
      <w:pPr>
        <w:widowControl/>
        <w:wordWrap/>
        <w:autoSpaceDE/>
        <w:autoSpaceDN/>
        <w:spacing w:after="0" w:line="240" w:lineRule="auto"/>
        <w:jc w:val="left"/>
        <w:rPr>
          <w:rFonts w:ascii="Arial" w:eastAsia="굴림" w:hAnsi="Arial" w:cs="Arial" w:hint="eastAsia"/>
          <w:color w:val="000000"/>
          <w:kern w:val="0"/>
          <w:sz w:val="18"/>
          <w:szCs w:val="18"/>
        </w:rPr>
      </w:pPr>
      <w:r>
        <w:rPr>
          <w:rFonts w:ascii="Arial" w:eastAsia="굴림" w:hAnsi="Arial" w:cs="Arial" w:hint="eastAsia"/>
          <w:color w:val="000000"/>
          <w:kern w:val="0"/>
          <w:sz w:val="18"/>
          <w:szCs w:val="18"/>
        </w:rPr>
        <w:t>[Abstract]</w:t>
      </w:r>
    </w:p>
    <w:p w:rsidR="004B22B8" w:rsidRDefault="004B22B8" w:rsidP="004B22B8">
      <w:pPr>
        <w:widowControl/>
        <w:wordWrap/>
        <w:autoSpaceDE/>
        <w:autoSpaceDN/>
        <w:spacing w:after="0" w:line="240" w:lineRule="auto"/>
        <w:jc w:val="left"/>
        <w:rPr>
          <w:rFonts w:ascii="Arial" w:eastAsia="굴림" w:hAnsi="Arial" w:cs="Arial"/>
          <w:color w:val="000000"/>
          <w:kern w:val="0"/>
          <w:sz w:val="18"/>
          <w:szCs w:val="18"/>
        </w:rPr>
      </w:pPr>
      <w:r w:rsidRPr="004B22B8">
        <w:rPr>
          <w:rFonts w:ascii="Arial" w:eastAsia="굴림" w:hAnsi="Arial" w:cs="Arial"/>
          <w:color w:val="000000"/>
          <w:kern w:val="0"/>
          <w:sz w:val="18"/>
          <w:szCs w:val="18"/>
        </w:rPr>
        <w:t xml:space="preserve">Purpose: To investigate how and in what way local governance of education is consequential to the work of changing public schools. The focus is on the board of education meeting as a ritual performance where authority is socially negotiated to manage the emotional and symbolic interactions that shape the district organization. Research Design: Data are drawn from 30 months of organizational fieldwork in New Haven Public Schools. Analysis is conducted on meeting transcripts, participant observer field notes, and stakeholder interviews. Findings: Observed as a ritual chain, four aspects of board of education meetings can be manipulated by those attempting to assert their authority within the organization. Organizational members used </w:t>
      </w:r>
      <w:proofErr w:type="spellStart"/>
      <w:r w:rsidRPr="004B22B8">
        <w:rPr>
          <w:rFonts w:ascii="Arial" w:eastAsia="굴림" w:hAnsi="Arial" w:cs="Arial"/>
          <w:color w:val="000000"/>
          <w:kern w:val="0"/>
          <w:sz w:val="18"/>
          <w:szCs w:val="18"/>
        </w:rPr>
        <w:t>copresence</w:t>
      </w:r>
      <w:proofErr w:type="spellEnd"/>
      <w:r w:rsidRPr="004B22B8">
        <w:rPr>
          <w:rFonts w:ascii="Arial" w:eastAsia="굴림" w:hAnsi="Arial" w:cs="Arial"/>
          <w:color w:val="000000"/>
          <w:kern w:val="0"/>
          <w:sz w:val="18"/>
          <w:szCs w:val="18"/>
        </w:rPr>
        <w:t>, shared understandings of the ritual, emotions and symbols, and feelings of solidarity to set boundaries around the organization and maintain stability. Conclusions: Performances of organizational routines such as board meetings are consequential to the micro-level work of leading and changing education. School improvement and reform initiatives must account for the midlevel of school governance at the district and board level to make meaningful and sustainable change.</w:t>
      </w:r>
    </w:p>
    <w:p w:rsidR="004B22B8" w:rsidRDefault="004B22B8" w:rsidP="004B22B8">
      <w:pPr>
        <w:widowControl/>
        <w:wordWrap/>
        <w:autoSpaceDE/>
        <w:autoSpaceDN/>
        <w:spacing w:after="0" w:line="240" w:lineRule="auto"/>
        <w:jc w:val="left"/>
        <w:rPr>
          <w:rFonts w:ascii="Arial" w:eastAsia="굴림" w:hAnsi="Arial" w:cs="Arial"/>
          <w:color w:val="000000"/>
          <w:kern w:val="0"/>
          <w:sz w:val="18"/>
          <w:szCs w:val="18"/>
        </w:rPr>
      </w:pPr>
    </w:p>
    <w:p w:rsidR="004B22B8" w:rsidRPr="004B22B8" w:rsidRDefault="004B22B8" w:rsidP="004B22B8">
      <w:pPr>
        <w:widowControl/>
        <w:wordWrap/>
        <w:autoSpaceDE/>
        <w:autoSpaceDN/>
        <w:spacing w:after="0" w:line="240" w:lineRule="auto"/>
        <w:jc w:val="left"/>
        <w:rPr>
          <w:rFonts w:ascii="Arial" w:eastAsia="굴림" w:hAnsi="Arial" w:cs="Arial"/>
          <w:color w:val="000000"/>
          <w:kern w:val="0"/>
          <w:sz w:val="18"/>
          <w:szCs w:val="18"/>
        </w:rPr>
      </w:pPr>
    </w:p>
    <w:p w:rsidR="004B22B8" w:rsidRPr="004B22B8" w:rsidRDefault="004B22B8" w:rsidP="004B22B8">
      <w:pPr>
        <w:widowControl/>
        <w:wordWrap/>
        <w:autoSpaceDE/>
        <w:autoSpaceDN/>
        <w:spacing w:after="0" w:line="240" w:lineRule="auto"/>
        <w:jc w:val="left"/>
        <w:rPr>
          <w:rFonts w:ascii="Arial" w:eastAsia="굴림" w:hAnsi="Arial" w:cs="Arial"/>
          <w:b/>
          <w:color w:val="000000"/>
          <w:kern w:val="0"/>
          <w:sz w:val="22"/>
          <w:szCs w:val="18"/>
        </w:rPr>
      </w:pPr>
      <w:hyperlink r:id="rId7" w:tgtFrame="_blank" w:history="1">
        <w:r w:rsidRPr="004B22B8">
          <w:rPr>
            <w:rFonts w:ascii="Arial" w:eastAsia="굴림" w:hAnsi="Arial" w:cs="Arial"/>
            <w:b/>
            <w:color w:val="464646"/>
            <w:kern w:val="0"/>
            <w:sz w:val="22"/>
            <w:szCs w:val="18"/>
          </w:rPr>
          <w:t>From Principals to Teachers to Students: Exploring an Integrative Model for Predicting Students’ Achievements</w:t>
        </w:r>
      </w:hyperlink>
    </w:p>
    <w:p w:rsidR="004B22B8" w:rsidRPr="004B22B8" w:rsidRDefault="004B22B8" w:rsidP="004B22B8">
      <w:pPr>
        <w:widowControl/>
        <w:wordWrap/>
        <w:autoSpaceDE/>
        <w:autoSpaceDN/>
        <w:spacing w:after="0" w:line="240" w:lineRule="auto"/>
        <w:jc w:val="left"/>
        <w:rPr>
          <w:rFonts w:ascii="Arial" w:eastAsia="굴림" w:hAnsi="Arial" w:cs="Arial"/>
          <w:b/>
          <w:color w:val="000000"/>
          <w:kern w:val="0"/>
          <w:sz w:val="22"/>
          <w:szCs w:val="18"/>
        </w:rPr>
      </w:pPr>
    </w:p>
    <w:p w:rsidR="004B22B8" w:rsidRDefault="004B22B8" w:rsidP="004B22B8">
      <w:pPr>
        <w:widowControl/>
        <w:wordWrap/>
        <w:autoSpaceDE/>
        <w:autoSpaceDN/>
        <w:spacing w:after="0" w:line="240" w:lineRule="auto"/>
        <w:jc w:val="left"/>
        <w:rPr>
          <w:rFonts w:ascii="Arial" w:eastAsia="굴림" w:hAnsi="Arial" w:cs="Arial" w:hint="eastAsia"/>
          <w:color w:val="000000"/>
          <w:kern w:val="0"/>
          <w:sz w:val="18"/>
          <w:szCs w:val="18"/>
        </w:rPr>
      </w:pPr>
      <w:r>
        <w:rPr>
          <w:rFonts w:ascii="Arial" w:eastAsia="굴림" w:hAnsi="Arial" w:cs="Arial" w:hint="eastAsia"/>
          <w:color w:val="000000"/>
          <w:kern w:val="0"/>
          <w:sz w:val="18"/>
          <w:szCs w:val="18"/>
        </w:rPr>
        <w:t>[Abstract]</w:t>
      </w:r>
    </w:p>
    <w:p w:rsidR="004B22B8" w:rsidRDefault="004B22B8" w:rsidP="004B22B8">
      <w:pPr>
        <w:widowControl/>
        <w:wordWrap/>
        <w:autoSpaceDE/>
        <w:autoSpaceDN/>
        <w:spacing w:after="0" w:line="240" w:lineRule="auto"/>
        <w:jc w:val="left"/>
        <w:rPr>
          <w:rFonts w:ascii="Arial" w:eastAsia="굴림" w:hAnsi="Arial" w:cs="Arial" w:hint="eastAsia"/>
          <w:color w:val="000000"/>
          <w:kern w:val="0"/>
          <w:sz w:val="18"/>
          <w:szCs w:val="18"/>
        </w:rPr>
      </w:pPr>
      <w:r w:rsidRPr="004B22B8">
        <w:rPr>
          <w:rFonts w:ascii="Arial" w:eastAsia="굴림" w:hAnsi="Arial" w:cs="Arial"/>
          <w:color w:val="000000"/>
          <w:kern w:val="0"/>
          <w:sz w:val="18"/>
          <w:szCs w:val="18"/>
        </w:rPr>
        <w:t>Purpose: This study explored a theoretical model proposing direct and mediated effects for principals’ characteristics—principals’ information-processing mechanisms (PIPMs) and instructional leadership (IL)—with organizational learning mechanisms (OLMs), for schools’ OLMs with teachers’ characteristics—teachers’ affective commitment (TAC), collective teacher efficacy (CTE), and teachers’ job satisfaction (TJS)—and finally, for teachers’ characteristics with students’ achievements on national math and science tests. Design: Data were collected from a multisource survey of a random sample of 130 elementary school principals representing Israel’s full socioeconomic range, 1,700 teachers from those schools, as well as data on those schools retrieved from the Ministry of Education data set. Data were aggregated at the school level for structural equation modeling (SEM) analysis. Findings: Analysis from SEM confirmed that IL emerges as a prominent mediator between PIPMs and OLMs. OLMs emerged as a prominent mediator between IL and the three teachers’ characteristics. TAC and CTE were significantly directly related to students’ math and science achievements. Finally, OLMs promoted students’ math and science achievements only through CTE. Implications: The relationships found for both principal characteristics (PIPMs and IL) with OLMs in schools highlight principals’ potentially important role in promoting collective learning within schools through utilization of OLMs, which can predict critical teacher characteristics (TAC, CTE, TJS), which in turn can predict school effectiveness measures (i.e., students’ achievements).</w:t>
      </w:r>
    </w:p>
    <w:p w:rsidR="004B22B8" w:rsidRDefault="004B22B8" w:rsidP="004B22B8">
      <w:pPr>
        <w:widowControl/>
        <w:wordWrap/>
        <w:autoSpaceDE/>
        <w:autoSpaceDN/>
        <w:spacing w:after="0" w:line="240" w:lineRule="auto"/>
        <w:jc w:val="left"/>
        <w:rPr>
          <w:rFonts w:ascii="Arial" w:eastAsia="굴림" w:hAnsi="Arial" w:cs="Arial"/>
          <w:color w:val="000000"/>
          <w:kern w:val="0"/>
          <w:sz w:val="18"/>
          <w:szCs w:val="18"/>
        </w:rPr>
      </w:pPr>
    </w:p>
    <w:p w:rsidR="004B22B8" w:rsidRPr="004B22B8" w:rsidRDefault="004B22B8" w:rsidP="004B22B8">
      <w:pPr>
        <w:widowControl/>
        <w:wordWrap/>
        <w:autoSpaceDE/>
        <w:autoSpaceDN/>
        <w:spacing w:after="0" w:line="240" w:lineRule="auto"/>
        <w:jc w:val="left"/>
        <w:rPr>
          <w:rFonts w:ascii="Arial" w:eastAsia="굴림" w:hAnsi="Arial" w:cs="Arial" w:hint="eastAsia"/>
          <w:color w:val="000000"/>
          <w:kern w:val="0"/>
          <w:sz w:val="18"/>
          <w:szCs w:val="18"/>
        </w:rPr>
      </w:pPr>
    </w:p>
    <w:p w:rsidR="004B22B8" w:rsidRPr="004B22B8" w:rsidRDefault="004B22B8" w:rsidP="004B22B8">
      <w:pPr>
        <w:widowControl/>
        <w:wordWrap/>
        <w:autoSpaceDE/>
        <w:autoSpaceDN/>
        <w:spacing w:after="0" w:line="240" w:lineRule="auto"/>
        <w:jc w:val="left"/>
        <w:rPr>
          <w:rFonts w:ascii="Arial" w:eastAsia="굴림" w:hAnsi="Arial" w:cs="Arial"/>
          <w:b/>
          <w:color w:val="000000"/>
          <w:kern w:val="0"/>
          <w:sz w:val="22"/>
          <w:szCs w:val="18"/>
        </w:rPr>
      </w:pPr>
      <w:hyperlink r:id="rId8" w:tgtFrame="_blank" w:history="1">
        <w:r w:rsidRPr="004B22B8">
          <w:rPr>
            <w:rFonts w:ascii="Arial" w:eastAsia="굴림" w:hAnsi="Arial" w:cs="Arial"/>
            <w:b/>
            <w:color w:val="464646"/>
            <w:kern w:val="0"/>
            <w:sz w:val="22"/>
            <w:szCs w:val="18"/>
          </w:rPr>
          <w:t xml:space="preserve">Focusing on the Practice of Distributed Leadership: The International Evidence </w:t>
        </w:r>
        <w:proofErr w:type="gramStart"/>
        <w:r w:rsidRPr="004B22B8">
          <w:rPr>
            <w:rFonts w:ascii="Arial" w:eastAsia="굴림" w:hAnsi="Arial" w:cs="Arial"/>
            <w:b/>
            <w:color w:val="464646"/>
            <w:kern w:val="0"/>
            <w:sz w:val="22"/>
            <w:szCs w:val="18"/>
          </w:rPr>
          <w:t>From</w:t>
        </w:r>
        <w:proofErr w:type="gramEnd"/>
        <w:r w:rsidRPr="004B22B8">
          <w:rPr>
            <w:rFonts w:ascii="Arial" w:eastAsia="굴림" w:hAnsi="Arial" w:cs="Arial"/>
            <w:b/>
            <w:color w:val="464646"/>
            <w:kern w:val="0"/>
            <w:sz w:val="22"/>
            <w:szCs w:val="18"/>
          </w:rPr>
          <w:t xml:space="preserve"> the 2013 TALIS</w:t>
        </w:r>
      </w:hyperlink>
    </w:p>
    <w:p w:rsidR="004B22B8" w:rsidRDefault="004B22B8" w:rsidP="004B22B8">
      <w:pPr>
        <w:widowControl/>
        <w:wordWrap/>
        <w:autoSpaceDE/>
        <w:autoSpaceDN/>
        <w:spacing w:after="0" w:line="240" w:lineRule="auto"/>
        <w:jc w:val="left"/>
        <w:rPr>
          <w:rFonts w:ascii="Arial" w:eastAsia="굴림" w:hAnsi="Arial" w:cs="Arial"/>
          <w:color w:val="000000"/>
          <w:kern w:val="0"/>
          <w:sz w:val="18"/>
          <w:szCs w:val="18"/>
        </w:rPr>
      </w:pPr>
    </w:p>
    <w:p w:rsidR="004B22B8" w:rsidRDefault="004B22B8" w:rsidP="004B22B8">
      <w:pPr>
        <w:widowControl/>
        <w:wordWrap/>
        <w:autoSpaceDE/>
        <w:autoSpaceDN/>
        <w:spacing w:after="0" w:line="240" w:lineRule="auto"/>
        <w:jc w:val="left"/>
        <w:rPr>
          <w:rFonts w:ascii="Arial" w:eastAsia="굴림" w:hAnsi="Arial" w:cs="Arial" w:hint="eastAsia"/>
          <w:color w:val="000000"/>
          <w:kern w:val="0"/>
          <w:sz w:val="18"/>
          <w:szCs w:val="18"/>
        </w:rPr>
      </w:pPr>
      <w:r>
        <w:rPr>
          <w:rFonts w:ascii="Arial" w:eastAsia="굴림" w:hAnsi="Arial" w:cs="Arial" w:hint="eastAsia"/>
          <w:color w:val="000000"/>
          <w:kern w:val="0"/>
          <w:sz w:val="18"/>
          <w:szCs w:val="18"/>
        </w:rPr>
        <w:t>[Abstract]</w:t>
      </w:r>
    </w:p>
    <w:p w:rsidR="004B22B8" w:rsidRDefault="004B22B8" w:rsidP="004B22B8">
      <w:pPr>
        <w:widowControl/>
        <w:wordWrap/>
        <w:autoSpaceDE/>
        <w:autoSpaceDN/>
        <w:spacing w:after="0" w:line="240" w:lineRule="auto"/>
        <w:jc w:val="left"/>
        <w:rPr>
          <w:rFonts w:ascii="Arial" w:eastAsia="굴림" w:hAnsi="Arial" w:cs="Arial"/>
          <w:color w:val="000000"/>
          <w:kern w:val="0"/>
          <w:sz w:val="18"/>
          <w:szCs w:val="18"/>
        </w:rPr>
      </w:pPr>
      <w:r w:rsidRPr="004B22B8">
        <w:rPr>
          <w:rFonts w:ascii="Arial" w:eastAsia="굴림" w:hAnsi="Arial" w:cs="Arial"/>
          <w:color w:val="000000"/>
          <w:kern w:val="0"/>
          <w:sz w:val="18"/>
          <w:szCs w:val="18"/>
        </w:rPr>
        <w:t xml:space="preserve">Purpose: This study is primarily interested in the operational evidence of distributed leadership using large-scale and </w:t>
      </w:r>
      <w:proofErr w:type="spellStart"/>
      <w:r w:rsidRPr="004B22B8">
        <w:rPr>
          <w:rFonts w:ascii="Arial" w:eastAsia="굴림" w:hAnsi="Arial" w:cs="Arial"/>
          <w:color w:val="000000"/>
          <w:kern w:val="0"/>
          <w:sz w:val="18"/>
          <w:szCs w:val="18"/>
        </w:rPr>
        <w:t>multicountry</w:t>
      </w:r>
      <w:proofErr w:type="spellEnd"/>
      <w:r w:rsidRPr="004B22B8">
        <w:rPr>
          <w:rFonts w:ascii="Arial" w:eastAsia="굴림" w:hAnsi="Arial" w:cs="Arial"/>
          <w:color w:val="000000"/>
          <w:kern w:val="0"/>
          <w:sz w:val="18"/>
          <w:szCs w:val="18"/>
        </w:rPr>
        <w:t xml:space="preserve"> data. Specifically, this study investigates (a) how three position-based human units—the principal, the management team, and teachers—could lead nine school leadership functions together and (b) how the country and school contextual factors are related to the leadership distribution mechanism, which examines the associations among variables across national boundaries including 32 countries. Research Design: This study conducted a secondary data analysis using the 2013 Teaching and Learning International Survey. The researcher first constructed the latent variables to quantify the extent to which the three groups led the nine leadership functions. Then a resampling approach with balanced repeated replication weights was used to disclose the extent to which each group led each of the 17 leadership tasks. Finally, a structural equation model helped reveal the existing associations among contextual factors and distributed leadership operation. Findings: First, distributed leadership was reported by principals to exist in 25 countries, and there were seven distributed leadership patterns discovered among 32 countries included in the sample, though two patterns were revealed to have little leadership distribution. Second, this study found that the principal, the management team, and teachers led varied leadership functions. Finally, both country and school contextual factors were associated with </w:t>
      </w:r>
      <w:r w:rsidRPr="004B22B8">
        <w:rPr>
          <w:rFonts w:ascii="Arial" w:eastAsia="굴림" w:hAnsi="Arial" w:cs="Arial"/>
          <w:color w:val="000000"/>
          <w:kern w:val="0"/>
          <w:sz w:val="18"/>
          <w:szCs w:val="18"/>
        </w:rPr>
        <w:lastRenderedPageBreak/>
        <w:t>how leadership was distributed. Conclusions: This study, using large-scale and international data, has added new evidence with a particular interest in the effects of contextual influence on distributed leadership practices.</w:t>
      </w:r>
    </w:p>
    <w:p w:rsidR="004B22B8" w:rsidRDefault="004B22B8" w:rsidP="004B22B8">
      <w:pPr>
        <w:widowControl/>
        <w:wordWrap/>
        <w:autoSpaceDE/>
        <w:autoSpaceDN/>
        <w:spacing w:after="0" w:line="240" w:lineRule="auto"/>
        <w:jc w:val="left"/>
        <w:rPr>
          <w:rFonts w:ascii="Arial" w:eastAsia="굴림" w:hAnsi="Arial" w:cs="Arial"/>
          <w:color w:val="000000"/>
          <w:kern w:val="0"/>
          <w:sz w:val="18"/>
          <w:szCs w:val="18"/>
        </w:rPr>
      </w:pPr>
    </w:p>
    <w:p w:rsidR="004B22B8" w:rsidRPr="004B22B8" w:rsidRDefault="004B22B8" w:rsidP="004B22B8">
      <w:pPr>
        <w:widowControl/>
        <w:wordWrap/>
        <w:autoSpaceDE/>
        <w:autoSpaceDN/>
        <w:spacing w:after="0" w:line="240" w:lineRule="auto"/>
        <w:jc w:val="left"/>
        <w:rPr>
          <w:rFonts w:ascii="Arial" w:eastAsia="굴림" w:hAnsi="Arial" w:cs="Arial"/>
          <w:color w:val="000000"/>
          <w:kern w:val="0"/>
          <w:sz w:val="18"/>
          <w:szCs w:val="18"/>
        </w:rPr>
      </w:pPr>
    </w:p>
    <w:p w:rsidR="004B22B8" w:rsidRPr="004B22B8" w:rsidRDefault="004B22B8" w:rsidP="004B22B8">
      <w:pPr>
        <w:widowControl/>
        <w:wordWrap/>
        <w:autoSpaceDE/>
        <w:autoSpaceDN/>
        <w:spacing w:after="0" w:line="240" w:lineRule="auto"/>
        <w:jc w:val="left"/>
        <w:rPr>
          <w:rFonts w:ascii="Arial" w:eastAsia="굴림" w:hAnsi="Arial" w:cs="Arial"/>
          <w:b/>
          <w:color w:val="000000"/>
          <w:kern w:val="0"/>
          <w:sz w:val="22"/>
          <w:szCs w:val="18"/>
        </w:rPr>
      </w:pPr>
      <w:hyperlink r:id="rId9" w:tgtFrame="_blank" w:history="1">
        <w:r w:rsidRPr="004B22B8">
          <w:rPr>
            <w:rFonts w:ascii="Arial" w:eastAsia="굴림" w:hAnsi="Arial" w:cs="Arial"/>
            <w:b/>
            <w:color w:val="464646"/>
            <w:kern w:val="0"/>
            <w:sz w:val="22"/>
            <w:szCs w:val="18"/>
          </w:rPr>
          <w:t>Shared Leadership for Learning in Denver’s Portfolio Management Model</w:t>
        </w:r>
      </w:hyperlink>
    </w:p>
    <w:p w:rsidR="004B22B8" w:rsidRDefault="004B22B8" w:rsidP="004B22B8">
      <w:pPr>
        <w:widowControl/>
        <w:wordWrap/>
        <w:autoSpaceDE/>
        <w:autoSpaceDN/>
        <w:spacing w:after="0" w:line="240" w:lineRule="auto"/>
        <w:jc w:val="left"/>
        <w:rPr>
          <w:rFonts w:ascii="Arial" w:eastAsia="굴림" w:hAnsi="Arial" w:cs="Arial"/>
          <w:color w:val="000000"/>
          <w:kern w:val="0"/>
          <w:sz w:val="18"/>
          <w:szCs w:val="18"/>
        </w:rPr>
      </w:pPr>
    </w:p>
    <w:p w:rsidR="004B22B8" w:rsidRDefault="004B22B8" w:rsidP="004B22B8">
      <w:pPr>
        <w:widowControl/>
        <w:wordWrap/>
        <w:autoSpaceDE/>
        <w:autoSpaceDN/>
        <w:spacing w:after="0" w:line="240" w:lineRule="auto"/>
        <w:jc w:val="left"/>
        <w:rPr>
          <w:rFonts w:ascii="Arial" w:eastAsia="굴림" w:hAnsi="Arial" w:cs="Arial" w:hint="eastAsia"/>
          <w:color w:val="000000"/>
          <w:kern w:val="0"/>
          <w:sz w:val="18"/>
          <w:szCs w:val="18"/>
        </w:rPr>
      </w:pPr>
      <w:r>
        <w:rPr>
          <w:rFonts w:ascii="Arial" w:eastAsia="굴림" w:hAnsi="Arial" w:cs="Arial" w:hint="eastAsia"/>
          <w:color w:val="000000"/>
          <w:kern w:val="0"/>
          <w:sz w:val="18"/>
          <w:szCs w:val="18"/>
        </w:rPr>
        <w:t>[Abstract]</w:t>
      </w:r>
    </w:p>
    <w:p w:rsidR="004B22B8" w:rsidRDefault="004B22B8" w:rsidP="004B22B8">
      <w:pPr>
        <w:widowControl/>
        <w:wordWrap/>
        <w:autoSpaceDE/>
        <w:autoSpaceDN/>
        <w:spacing w:after="0" w:line="240" w:lineRule="auto"/>
        <w:jc w:val="left"/>
        <w:rPr>
          <w:rFonts w:ascii="Arial" w:eastAsia="굴림" w:hAnsi="Arial" w:cs="Arial"/>
          <w:color w:val="000000"/>
          <w:kern w:val="0"/>
          <w:sz w:val="18"/>
          <w:szCs w:val="18"/>
        </w:rPr>
      </w:pPr>
      <w:r w:rsidRPr="004B22B8">
        <w:rPr>
          <w:rFonts w:ascii="Arial" w:eastAsia="굴림" w:hAnsi="Arial" w:cs="Arial"/>
          <w:color w:val="000000"/>
          <w:kern w:val="0"/>
          <w:sz w:val="18"/>
          <w:szCs w:val="18"/>
        </w:rPr>
        <w:t>Purpose: This study examines how district governance and different school contexts in Denver’s portfolio management model affect shared leadership for learning. We define this as shared influence on instructional leadership and school-wide decision making, which research suggests have strong ties to student achievement and teacher commitment. Method: We analyze interview data from 53 administrators, teacher leaders, and teachers in eight case study schools and teacher surveys in 48 schools. In both data sets, we purposively sampled based on variance in school performance ratings and by school type (e.g., traditional public, standalone charter, charter management organization [CMO], and innovation schools). Findings: We find that perceptions of shared instructional leadership were generally high across the school contexts, though CMO and innovation schools had the highest perceptions in both the survey and case study data. Schools varied substantially in shared decision making, but innovation schools had higher average scores than other school models. Centralized policies and supports, alongside organizational visions spanning networks of schools, helped explain the enactment of shared leadership for learning. For example, schools within Denver’s “innovation” network shared a common vision of teacher empowerment, while CMOs that had more prescribed policies and practices across their schools had lower reported levels of shared decision making. Implications for Research and Practice: Portfolio management models that prioritize school-based autonomy and choice between different kinds of schools are proliferating in urban areas. Our study helps explain why and how shared leadership for learning differs between school models and explores important implications for this variation.</w:t>
      </w:r>
    </w:p>
    <w:p w:rsidR="004B22B8" w:rsidRDefault="004B22B8" w:rsidP="004B22B8">
      <w:pPr>
        <w:widowControl/>
        <w:wordWrap/>
        <w:autoSpaceDE/>
        <w:autoSpaceDN/>
        <w:spacing w:after="0" w:line="240" w:lineRule="auto"/>
        <w:jc w:val="left"/>
        <w:rPr>
          <w:rFonts w:ascii="Arial" w:eastAsia="굴림" w:hAnsi="Arial" w:cs="Arial"/>
          <w:color w:val="000000"/>
          <w:kern w:val="0"/>
          <w:sz w:val="18"/>
          <w:szCs w:val="18"/>
        </w:rPr>
      </w:pPr>
    </w:p>
    <w:p w:rsidR="004B22B8" w:rsidRPr="004B22B8" w:rsidRDefault="004B22B8" w:rsidP="004B22B8">
      <w:pPr>
        <w:widowControl/>
        <w:wordWrap/>
        <w:autoSpaceDE/>
        <w:autoSpaceDN/>
        <w:spacing w:after="0" w:line="240" w:lineRule="auto"/>
        <w:jc w:val="left"/>
        <w:rPr>
          <w:rFonts w:ascii="Arial" w:eastAsia="굴림" w:hAnsi="Arial" w:cs="Arial" w:hint="eastAsia"/>
          <w:color w:val="000000"/>
          <w:kern w:val="0"/>
          <w:sz w:val="18"/>
          <w:szCs w:val="18"/>
        </w:rPr>
      </w:pPr>
    </w:p>
    <w:p w:rsidR="004B22B8" w:rsidRPr="004B22B8" w:rsidRDefault="004B22B8" w:rsidP="004B22B8">
      <w:pPr>
        <w:widowControl/>
        <w:wordWrap/>
        <w:autoSpaceDE/>
        <w:autoSpaceDN/>
        <w:spacing w:after="0" w:line="240" w:lineRule="auto"/>
        <w:jc w:val="left"/>
        <w:rPr>
          <w:rFonts w:ascii="Arial" w:eastAsia="굴림" w:hAnsi="Arial" w:cs="Arial"/>
          <w:b/>
          <w:color w:val="000000"/>
          <w:kern w:val="0"/>
          <w:sz w:val="22"/>
          <w:szCs w:val="18"/>
        </w:rPr>
      </w:pPr>
      <w:hyperlink r:id="rId10" w:tgtFrame="_blank" w:history="1">
        <w:r w:rsidRPr="004B22B8">
          <w:rPr>
            <w:rFonts w:ascii="Arial" w:eastAsia="굴림" w:hAnsi="Arial" w:cs="Arial"/>
            <w:b/>
            <w:color w:val="464646"/>
            <w:kern w:val="0"/>
            <w:sz w:val="22"/>
            <w:szCs w:val="18"/>
          </w:rPr>
          <w:t>Is “Whole Child” Education Obsolete? Public School Principals’ Educational Goal Priorities in the Era of Accountability</w:t>
        </w:r>
      </w:hyperlink>
    </w:p>
    <w:p w:rsidR="004B22B8" w:rsidRDefault="004B22B8" w:rsidP="004B22B8">
      <w:pPr>
        <w:widowControl/>
        <w:wordWrap/>
        <w:autoSpaceDE/>
        <w:autoSpaceDN/>
        <w:spacing w:after="0" w:line="240" w:lineRule="auto"/>
        <w:jc w:val="left"/>
        <w:rPr>
          <w:rFonts w:ascii="Arial" w:eastAsia="굴림" w:hAnsi="Arial" w:cs="Arial"/>
          <w:color w:val="000000"/>
          <w:kern w:val="0"/>
          <w:sz w:val="18"/>
          <w:szCs w:val="18"/>
        </w:rPr>
      </w:pPr>
    </w:p>
    <w:p w:rsidR="004B22B8" w:rsidRDefault="004B22B8" w:rsidP="004B22B8">
      <w:pPr>
        <w:widowControl/>
        <w:wordWrap/>
        <w:autoSpaceDE/>
        <w:autoSpaceDN/>
        <w:spacing w:after="0" w:line="240" w:lineRule="auto"/>
        <w:jc w:val="left"/>
        <w:rPr>
          <w:rFonts w:ascii="Arial" w:eastAsia="굴림" w:hAnsi="Arial" w:cs="Arial" w:hint="eastAsia"/>
          <w:color w:val="000000"/>
          <w:kern w:val="0"/>
          <w:sz w:val="18"/>
          <w:szCs w:val="18"/>
        </w:rPr>
      </w:pPr>
      <w:r>
        <w:rPr>
          <w:rFonts w:ascii="Arial" w:eastAsia="굴림" w:hAnsi="Arial" w:cs="Arial" w:hint="eastAsia"/>
          <w:color w:val="000000"/>
          <w:kern w:val="0"/>
          <w:sz w:val="18"/>
          <w:szCs w:val="18"/>
        </w:rPr>
        <w:t>[Abstract]</w:t>
      </w:r>
    </w:p>
    <w:p w:rsidR="004B22B8" w:rsidRPr="004B22B8" w:rsidRDefault="004B22B8" w:rsidP="004B22B8">
      <w:pPr>
        <w:widowControl/>
        <w:wordWrap/>
        <w:autoSpaceDE/>
        <w:autoSpaceDN/>
        <w:spacing w:after="0" w:line="240" w:lineRule="auto"/>
        <w:jc w:val="left"/>
        <w:rPr>
          <w:rFonts w:ascii="Arial" w:eastAsia="굴림" w:hAnsi="Arial" w:cs="Arial"/>
          <w:color w:val="000000"/>
          <w:kern w:val="0"/>
          <w:sz w:val="18"/>
          <w:szCs w:val="18"/>
        </w:rPr>
      </w:pPr>
      <w:r w:rsidRPr="004B22B8">
        <w:rPr>
          <w:rFonts w:ascii="Arial" w:eastAsia="굴림" w:hAnsi="Arial" w:cs="Arial"/>
          <w:color w:val="000000"/>
          <w:kern w:val="0"/>
          <w:sz w:val="18"/>
          <w:szCs w:val="18"/>
        </w:rPr>
        <w:t xml:space="preserve">Objectives: Working under the constraints of external accountability policy, public school principals are faced with challenges in prioritizing educational goals. Using the Schools and Staffing Survey (SASS) data sets, this study examined the nature and sources of changes in principals’ educational goal priorities in the era of accountability, including the No Child Left </w:t>
      </w:r>
      <w:proofErr w:type="gramStart"/>
      <w:r w:rsidRPr="004B22B8">
        <w:rPr>
          <w:rFonts w:ascii="Arial" w:eastAsia="굴림" w:hAnsi="Arial" w:cs="Arial"/>
          <w:color w:val="000000"/>
          <w:kern w:val="0"/>
          <w:sz w:val="18"/>
          <w:szCs w:val="18"/>
        </w:rPr>
        <w:t>Behind</w:t>
      </w:r>
      <w:proofErr w:type="gramEnd"/>
      <w:r w:rsidRPr="004B22B8">
        <w:rPr>
          <w:rFonts w:ascii="Arial" w:eastAsia="굴림" w:hAnsi="Arial" w:cs="Arial"/>
          <w:color w:val="000000"/>
          <w:kern w:val="0"/>
          <w:sz w:val="18"/>
          <w:szCs w:val="18"/>
        </w:rPr>
        <w:t xml:space="preserve"> Act (NCLB). Method: Difference-in-differences method was used to compare the national average trends of educational goal priorities between public and private schools during 1991–2012 period. Comparative interrupted time series method was also used to explore the impact of NCLB accountability policy on those trends across 50 states. At the school level, logistic regression was applied to examine the effect of NCLB Adequate Yearly Progress status on principals’ educational priorities. Results: While academic goals gained traction over the 1991–2012 period, there were setbacks for other goals of education, particularly personal growth and vocational skills. Notably, public schools’ priority changes were more drastic than private schools’ changes. The divergent trends largely persisted after NCLB across the states. On the other hand, public school principals who previously failed to meet NCLB targets gave more emphasis on basic skills and less emphasis on academic excellence and personal growth. Conclusion: Public school principal’s priorities on academic goals have been shaped by test-driven accountability measures, while other equally important goals have been possibly deprioritized. It gives implications for the implementation of the Every Student Succeeds Act, in which educational leaders can redesign accountability systems and incorporate nonacademic measures for whole child education.</w:t>
      </w:r>
    </w:p>
    <w:p w:rsidR="004B22B8" w:rsidRPr="004B22B8" w:rsidRDefault="004B22B8" w:rsidP="004B22B8">
      <w:pPr>
        <w:widowControl/>
        <w:wordWrap/>
        <w:autoSpaceDE/>
        <w:autoSpaceDN/>
        <w:spacing w:before="240" w:after="240" w:line="240" w:lineRule="auto"/>
        <w:jc w:val="left"/>
        <w:outlineLvl w:val="2"/>
        <w:rPr>
          <w:rFonts w:ascii="Arial" w:eastAsia="굴림" w:hAnsi="Arial" w:cs="Arial"/>
          <w:b/>
          <w:bCs/>
          <w:color w:val="000000"/>
          <w:kern w:val="0"/>
          <w:sz w:val="36"/>
          <w:szCs w:val="36"/>
        </w:rPr>
      </w:pPr>
    </w:p>
    <w:p w:rsidR="004B22B8" w:rsidRDefault="004B22B8">
      <w:pPr>
        <w:widowControl/>
        <w:wordWrap/>
        <w:autoSpaceDE/>
        <w:autoSpaceDN/>
        <w:rPr>
          <w:rFonts w:ascii="Arial" w:eastAsia="굴림" w:hAnsi="Arial" w:cs="Arial"/>
          <w:b/>
          <w:bCs/>
          <w:color w:val="000000"/>
          <w:kern w:val="0"/>
          <w:sz w:val="36"/>
          <w:szCs w:val="36"/>
        </w:rPr>
      </w:pPr>
      <w:r>
        <w:rPr>
          <w:rFonts w:ascii="Arial" w:eastAsia="굴림" w:hAnsi="Arial" w:cs="Arial"/>
          <w:b/>
          <w:bCs/>
          <w:color w:val="000000"/>
          <w:kern w:val="0"/>
          <w:sz w:val="36"/>
          <w:szCs w:val="36"/>
        </w:rPr>
        <w:br w:type="page"/>
      </w:r>
    </w:p>
    <w:p w:rsidR="004B22B8" w:rsidRPr="004B22B8" w:rsidRDefault="004B22B8" w:rsidP="004B22B8">
      <w:pPr>
        <w:widowControl/>
        <w:wordWrap/>
        <w:autoSpaceDE/>
        <w:autoSpaceDN/>
        <w:spacing w:before="240" w:after="240" w:line="240" w:lineRule="auto"/>
        <w:jc w:val="left"/>
        <w:outlineLvl w:val="2"/>
        <w:rPr>
          <w:rFonts w:ascii="Arial" w:eastAsia="굴림" w:hAnsi="Arial" w:cs="Arial"/>
          <w:b/>
          <w:bCs/>
          <w:color w:val="000000"/>
          <w:kern w:val="0"/>
          <w:sz w:val="36"/>
          <w:szCs w:val="36"/>
        </w:rPr>
      </w:pPr>
      <w:hyperlink r:id="rId11" w:tgtFrame="_blank" w:history="1">
        <w:r w:rsidRPr="004B22B8">
          <w:rPr>
            <w:rFonts w:ascii="Arial" w:eastAsia="굴림" w:hAnsi="Arial" w:cs="Arial"/>
            <w:b/>
            <w:bCs/>
            <w:color w:val="464646"/>
            <w:kern w:val="0"/>
            <w:sz w:val="36"/>
            <w:szCs w:val="36"/>
          </w:rPr>
          <w:t>Educational Policy</w:t>
        </w:r>
      </w:hyperlink>
    </w:p>
    <w:p w:rsidR="004B22B8" w:rsidRPr="004B22B8" w:rsidRDefault="004B22B8" w:rsidP="004B22B8">
      <w:pPr>
        <w:widowControl/>
        <w:wordWrap/>
        <w:autoSpaceDE/>
        <w:autoSpaceDN/>
        <w:spacing w:after="0" w:line="240" w:lineRule="auto"/>
        <w:jc w:val="left"/>
        <w:rPr>
          <w:rFonts w:ascii="Arial" w:eastAsia="굴림" w:hAnsi="Arial" w:cs="Arial"/>
          <w:color w:val="000000"/>
          <w:kern w:val="0"/>
          <w:sz w:val="18"/>
          <w:szCs w:val="18"/>
        </w:rPr>
      </w:pPr>
      <w:r w:rsidRPr="004B22B8">
        <w:rPr>
          <w:rFonts w:ascii="Arial" w:eastAsia="굴림" w:hAnsi="Arial" w:cs="Arial"/>
          <w:color w:val="000000"/>
          <w:kern w:val="0"/>
          <w:sz w:val="18"/>
          <w:szCs w:val="18"/>
        </w:rPr>
        <w:t>Volume 35 Issue 1, January 2021</w:t>
      </w:r>
    </w:p>
    <w:p w:rsidR="004B22B8" w:rsidRPr="004B22B8" w:rsidRDefault="004B22B8" w:rsidP="004B22B8">
      <w:pPr>
        <w:widowControl/>
        <w:wordWrap/>
        <w:autoSpaceDE/>
        <w:autoSpaceDN/>
        <w:spacing w:after="0" w:line="240" w:lineRule="auto"/>
        <w:jc w:val="left"/>
        <w:rPr>
          <w:rFonts w:ascii="Arial" w:eastAsia="굴림" w:hAnsi="Arial" w:cs="Arial"/>
          <w:b/>
          <w:color w:val="000000"/>
          <w:kern w:val="0"/>
          <w:sz w:val="22"/>
          <w:szCs w:val="18"/>
        </w:rPr>
      </w:pPr>
      <w:hyperlink r:id="rId12" w:tgtFrame="_blank" w:history="1">
        <w:r w:rsidRPr="004B22B8">
          <w:rPr>
            <w:rFonts w:ascii="Arial" w:eastAsia="굴림" w:hAnsi="Arial" w:cs="Arial"/>
            <w:b/>
            <w:color w:val="464646"/>
            <w:kern w:val="0"/>
            <w:sz w:val="22"/>
            <w:szCs w:val="18"/>
          </w:rPr>
          <w:t>Science Teacher Motivation and Evaluation Polic</w:t>
        </w:r>
        <w:r w:rsidRPr="004B22B8">
          <w:rPr>
            <w:rFonts w:ascii="Arial" w:eastAsia="굴림" w:hAnsi="Arial" w:cs="Arial"/>
            <w:b/>
            <w:color w:val="464646"/>
            <w:kern w:val="0"/>
            <w:sz w:val="22"/>
            <w:szCs w:val="18"/>
          </w:rPr>
          <w:t>y</w:t>
        </w:r>
        <w:r w:rsidRPr="004B22B8">
          <w:rPr>
            <w:rFonts w:ascii="Arial" w:eastAsia="굴림" w:hAnsi="Arial" w:cs="Arial"/>
            <w:b/>
            <w:color w:val="464646"/>
            <w:kern w:val="0"/>
            <w:sz w:val="22"/>
            <w:szCs w:val="18"/>
          </w:rPr>
          <w:t xml:space="preserve"> in a High-Stakes Testing State</w:t>
        </w:r>
      </w:hyperlink>
    </w:p>
    <w:p w:rsidR="004B22B8" w:rsidRDefault="004B22B8" w:rsidP="004B22B8">
      <w:pPr>
        <w:widowControl/>
        <w:wordWrap/>
        <w:autoSpaceDE/>
        <w:autoSpaceDN/>
        <w:spacing w:after="0" w:line="240" w:lineRule="auto"/>
        <w:jc w:val="left"/>
        <w:rPr>
          <w:rFonts w:ascii="Arial" w:eastAsia="굴림" w:hAnsi="Arial" w:cs="Arial"/>
          <w:color w:val="000000"/>
          <w:kern w:val="0"/>
          <w:sz w:val="18"/>
          <w:szCs w:val="18"/>
        </w:rPr>
      </w:pPr>
    </w:p>
    <w:p w:rsidR="004B22B8" w:rsidRDefault="004B22B8" w:rsidP="004B22B8">
      <w:pPr>
        <w:widowControl/>
        <w:wordWrap/>
        <w:autoSpaceDE/>
        <w:autoSpaceDN/>
        <w:spacing w:after="0" w:line="240" w:lineRule="auto"/>
        <w:jc w:val="left"/>
        <w:rPr>
          <w:rFonts w:ascii="Arial" w:eastAsia="굴림" w:hAnsi="Arial" w:cs="Arial" w:hint="eastAsia"/>
          <w:color w:val="000000"/>
          <w:kern w:val="0"/>
          <w:sz w:val="18"/>
          <w:szCs w:val="18"/>
        </w:rPr>
      </w:pPr>
      <w:r>
        <w:rPr>
          <w:rFonts w:ascii="Arial" w:eastAsia="굴림" w:hAnsi="Arial" w:cs="Arial" w:hint="eastAsia"/>
          <w:color w:val="000000"/>
          <w:kern w:val="0"/>
          <w:sz w:val="18"/>
          <w:szCs w:val="18"/>
        </w:rPr>
        <w:t>[Abstract]</w:t>
      </w:r>
    </w:p>
    <w:p w:rsidR="004B22B8" w:rsidRDefault="004B22B8" w:rsidP="004B22B8">
      <w:pPr>
        <w:widowControl/>
        <w:wordWrap/>
        <w:autoSpaceDE/>
        <w:autoSpaceDN/>
        <w:spacing w:after="0" w:line="240" w:lineRule="auto"/>
        <w:jc w:val="left"/>
        <w:rPr>
          <w:rFonts w:ascii="Arial" w:eastAsia="굴림" w:hAnsi="Arial" w:cs="Arial"/>
          <w:color w:val="000000"/>
          <w:kern w:val="0"/>
          <w:sz w:val="18"/>
          <w:szCs w:val="18"/>
        </w:rPr>
      </w:pPr>
      <w:r w:rsidRPr="004B22B8">
        <w:rPr>
          <w:rFonts w:ascii="Arial" w:eastAsia="굴림" w:hAnsi="Arial" w:cs="Arial"/>
          <w:color w:val="000000"/>
          <w:kern w:val="0"/>
          <w:sz w:val="18"/>
          <w:szCs w:val="18"/>
        </w:rPr>
        <w:t>This qualitative case study explored the teachers’ and administrators’ perceptions of a newly implemented teacher evaluation policy in a high-stakes testing state, and how this policy impacted their motivation. Five science teachers and their immediate supervisors were interviewed, and their perceptions were analyzed through motivational theories of incentivizing career behaviors. Findings suggest the overarching goal of improving teacher practice through accountability was facilitated by intrinsic motivation and challenged by weaknesses in policy design. These tensions could be mediated by localized control that improves stakeholder agency, peer learning communities, and the adoption of more reliable evaluation metrics. Implications for teacher buy-in of evaluation policy are discussed.</w:t>
      </w:r>
    </w:p>
    <w:p w:rsidR="004B22B8" w:rsidRDefault="004B22B8" w:rsidP="004B22B8">
      <w:pPr>
        <w:widowControl/>
        <w:wordWrap/>
        <w:autoSpaceDE/>
        <w:autoSpaceDN/>
        <w:spacing w:after="0" w:line="240" w:lineRule="auto"/>
        <w:jc w:val="left"/>
        <w:rPr>
          <w:rFonts w:ascii="Arial" w:eastAsia="굴림" w:hAnsi="Arial" w:cs="Arial"/>
          <w:color w:val="000000"/>
          <w:kern w:val="0"/>
          <w:sz w:val="18"/>
          <w:szCs w:val="18"/>
        </w:rPr>
      </w:pPr>
    </w:p>
    <w:p w:rsidR="004B22B8" w:rsidRPr="004B22B8" w:rsidRDefault="004B22B8" w:rsidP="004B22B8">
      <w:pPr>
        <w:widowControl/>
        <w:wordWrap/>
        <w:autoSpaceDE/>
        <w:autoSpaceDN/>
        <w:spacing w:after="0" w:line="240" w:lineRule="auto"/>
        <w:jc w:val="left"/>
        <w:rPr>
          <w:rFonts w:ascii="Arial" w:eastAsia="굴림" w:hAnsi="Arial" w:cs="Arial"/>
          <w:color w:val="000000"/>
          <w:kern w:val="0"/>
          <w:sz w:val="18"/>
          <w:szCs w:val="18"/>
        </w:rPr>
      </w:pPr>
    </w:p>
    <w:p w:rsidR="004B22B8" w:rsidRPr="004B22B8" w:rsidRDefault="004B22B8" w:rsidP="004B22B8">
      <w:pPr>
        <w:widowControl/>
        <w:wordWrap/>
        <w:autoSpaceDE/>
        <w:autoSpaceDN/>
        <w:spacing w:after="0" w:line="240" w:lineRule="auto"/>
        <w:jc w:val="left"/>
        <w:rPr>
          <w:rFonts w:ascii="Arial" w:eastAsia="굴림" w:hAnsi="Arial" w:cs="Arial"/>
          <w:b/>
          <w:color w:val="000000"/>
          <w:kern w:val="0"/>
          <w:sz w:val="22"/>
          <w:szCs w:val="18"/>
        </w:rPr>
      </w:pPr>
      <w:hyperlink r:id="rId13" w:tgtFrame="_blank" w:history="1">
        <w:r w:rsidRPr="004B22B8">
          <w:rPr>
            <w:rFonts w:ascii="Arial" w:eastAsia="굴림" w:hAnsi="Arial" w:cs="Arial"/>
            <w:b/>
            <w:color w:val="464646"/>
            <w:kern w:val="0"/>
            <w:sz w:val="22"/>
            <w:szCs w:val="18"/>
          </w:rPr>
          <w:t xml:space="preserve">Exploring Faculty and Students’ Attitudes </w:t>
        </w:r>
        <w:proofErr w:type="gramStart"/>
        <w:r w:rsidRPr="004B22B8">
          <w:rPr>
            <w:rFonts w:ascii="Arial" w:eastAsia="굴림" w:hAnsi="Arial" w:cs="Arial"/>
            <w:b/>
            <w:color w:val="464646"/>
            <w:kern w:val="0"/>
            <w:sz w:val="22"/>
            <w:szCs w:val="18"/>
          </w:rPr>
          <w:t>About</w:t>
        </w:r>
        <w:proofErr w:type="gramEnd"/>
        <w:r w:rsidRPr="004B22B8">
          <w:rPr>
            <w:rFonts w:ascii="Arial" w:eastAsia="굴림" w:hAnsi="Arial" w:cs="Arial"/>
            <w:b/>
            <w:color w:val="464646"/>
            <w:kern w:val="0"/>
            <w:sz w:val="22"/>
            <w:szCs w:val="18"/>
          </w:rPr>
          <w:t xml:space="preserve"> Consensual Sexual Relationships and Sexual Harassment on College Campuses</w:t>
        </w:r>
      </w:hyperlink>
    </w:p>
    <w:p w:rsidR="004B22B8" w:rsidRDefault="004B22B8" w:rsidP="004B22B8">
      <w:pPr>
        <w:widowControl/>
        <w:wordWrap/>
        <w:autoSpaceDE/>
        <w:autoSpaceDN/>
        <w:spacing w:after="0" w:line="240" w:lineRule="auto"/>
        <w:jc w:val="left"/>
        <w:rPr>
          <w:rFonts w:ascii="Arial" w:eastAsia="굴림" w:hAnsi="Arial" w:cs="Arial"/>
          <w:color w:val="000000"/>
          <w:kern w:val="0"/>
          <w:sz w:val="18"/>
          <w:szCs w:val="18"/>
        </w:rPr>
      </w:pPr>
    </w:p>
    <w:p w:rsidR="004B22B8" w:rsidRDefault="004B22B8" w:rsidP="004B22B8">
      <w:pPr>
        <w:widowControl/>
        <w:wordWrap/>
        <w:autoSpaceDE/>
        <w:autoSpaceDN/>
        <w:spacing w:after="0" w:line="240" w:lineRule="auto"/>
        <w:jc w:val="left"/>
        <w:rPr>
          <w:rFonts w:ascii="Arial" w:eastAsia="굴림" w:hAnsi="Arial" w:cs="Arial" w:hint="eastAsia"/>
          <w:color w:val="000000"/>
          <w:kern w:val="0"/>
          <w:sz w:val="18"/>
          <w:szCs w:val="18"/>
        </w:rPr>
      </w:pPr>
      <w:r>
        <w:rPr>
          <w:rFonts w:ascii="Arial" w:eastAsia="굴림" w:hAnsi="Arial" w:cs="Arial" w:hint="eastAsia"/>
          <w:color w:val="000000"/>
          <w:kern w:val="0"/>
          <w:sz w:val="18"/>
          <w:szCs w:val="18"/>
        </w:rPr>
        <w:t>[Abstract]</w:t>
      </w:r>
    </w:p>
    <w:p w:rsidR="004B22B8" w:rsidRDefault="004B22B8" w:rsidP="004B22B8">
      <w:pPr>
        <w:widowControl/>
        <w:wordWrap/>
        <w:autoSpaceDE/>
        <w:autoSpaceDN/>
        <w:spacing w:after="0" w:line="240" w:lineRule="auto"/>
        <w:jc w:val="left"/>
        <w:rPr>
          <w:rFonts w:ascii="Arial" w:eastAsia="굴림" w:hAnsi="Arial" w:cs="Arial"/>
          <w:color w:val="000000"/>
          <w:kern w:val="0"/>
          <w:sz w:val="18"/>
          <w:szCs w:val="18"/>
        </w:rPr>
      </w:pPr>
      <w:r w:rsidRPr="004B22B8">
        <w:rPr>
          <w:rFonts w:ascii="Arial" w:eastAsia="굴림" w:hAnsi="Arial" w:cs="Arial"/>
          <w:color w:val="000000"/>
          <w:kern w:val="0"/>
          <w:sz w:val="18"/>
          <w:szCs w:val="18"/>
        </w:rPr>
        <w:t>Over the last several years, there has been an increased awareness regarding consensual sexual relationships (CSRs) between professors and students. Specifically, there has been a growing movement for academic institutions to develop policies addressing, discouraging, and/or prohibiting these relationships due to the potential for sexual harassment cases. Even though the appropriateness of such relationships has been widely debated among the university community, a limited amount of empirical work has examined this issue with the majority focusing on attitudinal studies. The current exploratory study consists of a content analysis of 278 faculty and student responses to the question, “If there is a difference between consensual sexual relationships and sexual harassment, what is it?” Responses indicate that there are several overlapping themes for both faculty and students in how they view these differences, with a large number of responses specifically indicating themes such as “CSR is consensual” while “sexual harassment is one sided.” There are also some unique perspectives given by faculty regarding the complexities and acceptability of CSRs, who are generally more specific and nuanced in their answers. Considering the complexities of this issue, it is the recommendation of the current study that much more research fully exploring the attitudes of faculty and students is needed to develop a well-rounded and comprehensive policy.</w:t>
      </w:r>
    </w:p>
    <w:p w:rsidR="004B22B8" w:rsidRDefault="004B22B8" w:rsidP="004B22B8">
      <w:pPr>
        <w:widowControl/>
        <w:wordWrap/>
        <w:autoSpaceDE/>
        <w:autoSpaceDN/>
        <w:spacing w:after="0" w:line="240" w:lineRule="auto"/>
        <w:jc w:val="left"/>
        <w:rPr>
          <w:rFonts w:ascii="Arial" w:eastAsia="굴림" w:hAnsi="Arial" w:cs="Arial"/>
          <w:color w:val="000000"/>
          <w:kern w:val="0"/>
          <w:sz w:val="18"/>
          <w:szCs w:val="18"/>
        </w:rPr>
      </w:pPr>
    </w:p>
    <w:p w:rsidR="004B22B8" w:rsidRPr="004B22B8" w:rsidRDefault="004B22B8" w:rsidP="004B22B8">
      <w:pPr>
        <w:widowControl/>
        <w:wordWrap/>
        <w:autoSpaceDE/>
        <w:autoSpaceDN/>
        <w:spacing w:after="0" w:line="240" w:lineRule="auto"/>
        <w:jc w:val="left"/>
        <w:rPr>
          <w:rFonts w:ascii="Arial" w:eastAsia="굴림" w:hAnsi="Arial" w:cs="Arial"/>
          <w:color w:val="000000"/>
          <w:kern w:val="0"/>
          <w:sz w:val="18"/>
          <w:szCs w:val="18"/>
        </w:rPr>
      </w:pPr>
    </w:p>
    <w:p w:rsidR="004B22B8" w:rsidRPr="004B22B8" w:rsidRDefault="004B22B8" w:rsidP="004B22B8">
      <w:pPr>
        <w:widowControl/>
        <w:wordWrap/>
        <w:autoSpaceDE/>
        <w:autoSpaceDN/>
        <w:spacing w:after="0" w:line="240" w:lineRule="auto"/>
        <w:jc w:val="left"/>
        <w:rPr>
          <w:rFonts w:ascii="Arial" w:eastAsia="굴림" w:hAnsi="Arial" w:cs="Arial"/>
          <w:b/>
          <w:color w:val="000000"/>
          <w:kern w:val="0"/>
          <w:sz w:val="22"/>
          <w:szCs w:val="18"/>
        </w:rPr>
      </w:pPr>
      <w:hyperlink r:id="rId14" w:tgtFrame="_blank" w:history="1">
        <w:r w:rsidRPr="004B22B8">
          <w:rPr>
            <w:rFonts w:ascii="Arial" w:eastAsia="굴림" w:hAnsi="Arial" w:cs="Arial"/>
            <w:b/>
            <w:color w:val="464646"/>
            <w:kern w:val="0"/>
            <w:sz w:val="22"/>
            <w:szCs w:val="18"/>
          </w:rPr>
          <w:t>Changing the Landscape: A Look at a Market District as an Emerging Model of K-12 Schooling</w:t>
        </w:r>
      </w:hyperlink>
    </w:p>
    <w:p w:rsidR="004B22B8" w:rsidRDefault="004B22B8" w:rsidP="004B22B8">
      <w:pPr>
        <w:widowControl/>
        <w:wordWrap/>
        <w:autoSpaceDE/>
        <w:autoSpaceDN/>
        <w:spacing w:after="0" w:line="240" w:lineRule="auto"/>
        <w:jc w:val="left"/>
        <w:rPr>
          <w:rFonts w:ascii="Arial" w:eastAsia="굴림" w:hAnsi="Arial" w:cs="Arial"/>
          <w:color w:val="000000"/>
          <w:kern w:val="0"/>
          <w:sz w:val="18"/>
          <w:szCs w:val="18"/>
        </w:rPr>
      </w:pPr>
    </w:p>
    <w:p w:rsidR="004B22B8" w:rsidRDefault="004B22B8" w:rsidP="004B22B8">
      <w:pPr>
        <w:widowControl/>
        <w:wordWrap/>
        <w:autoSpaceDE/>
        <w:autoSpaceDN/>
        <w:spacing w:after="0" w:line="240" w:lineRule="auto"/>
        <w:jc w:val="left"/>
        <w:rPr>
          <w:rFonts w:ascii="Arial" w:eastAsia="굴림" w:hAnsi="Arial" w:cs="Arial" w:hint="eastAsia"/>
          <w:color w:val="000000"/>
          <w:kern w:val="0"/>
          <w:sz w:val="18"/>
          <w:szCs w:val="18"/>
        </w:rPr>
      </w:pPr>
      <w:r>
        <w:rPr>
          <w:rFonts w:ascii="Arial" w:eastAsia="굴림" w:hAnsi="Arial" w:cs="Arial" w:hint="eastAsia"/>
          <w:color w:val="000000"/>
          <w:kern w:val="0"/>
          <w:sz w:val="18"/>
          <w:szCs w:val="18"/>
        </w:rPr>
        <w:t>[Abstract]</w:t>
      </w:r>
    </w:p>
    <w:p w:rsidR="004B22B8" w:rsidRDefault="001F1E42" w:rsidP="004B22B8">
      <w:pPr>
        <w:widowControl/>
        <w:wordWrap/>
        <w:autoSpaceDE/>
        <w:autoSpaceDN/>
        <w:spacing w:after="0" w:line="240" w:lineRule="auto"/>
        <w:jc w:val="left"/>
        <w:rPr>
          <w:rFonts w:ascii="Arial" w:eastAsia="굴림" w:hAnsi="Arial" w:cs="Arial"/>
          <w:color w:val="000000"/>
          <w:kern w:val="0"/>
          <w:sz w:val="18"/>
          <w:szCs w:val="18"/>
        </w:rPr>
      </w:pPr>
      <w:r w:rsidRPr="001F1E42">
        <w:rPr>
          <w:rFonts w:ascii="Arial" w:eastAsia="굴림" w:hAnsi="Arial" w:cs="Arial"/>
          <w:color w:val="000000"/>
          <w:kern w:val="0"/>
          <w:sz w:val="18"/>
          <w:szCs w:val="18"/>
        </w:rPr>
        <w:t>Despite research indicating significant challenges of market-based schooling, charter schools remain a growing trend in the United States. In this article, we examine an emerging market model: a K-12 system of charter schools under one charter board meant to serve as a city’s school district. To assess the fit of the market model, we employed a qualitative case study design, using interviews with school board members and the superintendent, and document analysis of school governance documents including the district’s bylaws, organizational charts, and state law. We analyzed our findings against a theory of school governance and found that despite the intent of local actors to create a school district that served all students, the market approach to whole-district schooling created gaps in service. This article raises important insights into the use of market models and the underlying philosophy of governance in shaping educational offerings for students, families, and communities.</w:t>
      </w:r>
    </w:p>
    <w:p w:rsidR="001F1E42" w:rsidRDefault="001F1E42" w:rsidP="004B22B8">
      <w:pPr>
        <w:widowControl/>
        <w:wordWrap/>
        <w:autoSpaceDE/>
        <w:autoSpaceDN/>
        <w:spacing w:after="0" w:line="240" w:lineRule="auto"/>
        <w:jc w:val="left"/>
        <w:rPr>
          <w:rFonts w:ascii="Arial" w:eastAsia="굴림" w:hAnsi="Arial" w:cs="Arial"/>
          <w:color w:val="000000"/>
          <w:kern w:val="0"/>
          <w:sz w:val="18"/>
          <w:szCs w:val="18"/>
        </w:rPr>
      </w:pPr>
    </w:p>
    <w:p w:rsidR="001F1E42" w:rsidRPr="004B22B8" w:rsidRDefault="001F1E42" w:rsidP="004B22B8">
      <w:pPr>
        <w:widowControl/>
        <w:wordWrap/>
        <w:autoSpaceDE/>
        <w:autoSpaceDN/>
        <w:spacing w:after="0" w:line="240" w:lineRule="auto"/>
        <w:jc w:val="left"/>
        <w:rPr>
          <w:rFonts w:ascii="Arial" w:eastAsia="굴림" w:hAnsi="Arial" w:cs="Arial"/>
          <w:color w:val="000000"/>
          <w:kern w:val="0"/>
          <w:sz w:val="18"/>
          <w:szCs w:val="18"/>
        </w:rPr>
      </w:pPr>
    </w:p>
    <w:p w:rsidR="004B22B8" w:rsidRPr="004B22B8" w:rsidRDefault="004B22B8" w:rsidP="004B22B8">
      <w:pPr>
        <w:widowControl/>
        <w:wordWrap/>
        <w:autoSpaceDE/>
        <w:autoSpaceDN/>
        <w:spacing w:after="0" w:line="240" w:lineRule="auto"/>
        <w:jc w:val="left"/>
        <w:rPr>
          <w:rFonts w:ascii="Arial" w:eastAsia="굴림" w:hAnsi="Arial" w:cs="Arial"/>
          <w:b/>
          <w:color w:val="000000"/>
          <w:kern w:val="0"/>
          <w:sz w:val="22"/>
          <w:szCs w:val="18"/>
        </w:rPr>
      </w:pPr>
      <w:hyperlink r:id="rId15" w:tgtFrame="_blank" w:history="1">
        <w:r w:rsidRPr="004B22B8">
          <w:rPr>
            <w:rFonts w:ascii="Arial" w:eastAsia="굴림" w:hAnsi="Arial" w:cs="Arial"/>
            <w:b/>
            <w:color w:val="464646"/>
            <w:kern w:val="0"/>
            <w:sz w:val="22"/>
            <w:szCs w:val="18"/>
          </w:rPr>
          <w:t>Promoting Educational Success: Which GEAR UP Services Lead to Postsecondary Enrollment and Persistence?</w:t>
        </w:r>
      </w:hyperlink>
    </w:p>
    <w:p w:rsidR="004B22B8" w:rsidRDefault="004B22B8" w:rsidP="004B22B8">
      <w:pPr>
        <w:widowControl/>
        <w:wordWrap/>
        <w:autoSpaceDE/>
        <w:autoSpaceDN/>
        <w:spacing w:after="0" w:line="240" w:lineRule="auto"/>
        <w:jc w:val="left"/>
        <w:rPr>
          <w:rFonts w:ascii="Arial" w:eastAsia="굴림" w:hAnsi="Arial" w:cs="Arial"/>
          <w:color w:val="000000"/>
          <w:kern w:val="0"/>
          <w:sz w:val="18"/>
          <w:szCs w:val="18"/>
        </w:rPr>
      </w:pPr>
    </w:p>
    <w:p w:rsidR="004B22B8" w:rsidRDefault="004B22B8" w:rsidP="004B22B8">
      <w:pPr>
        <w:widowControl/>
        <w:wordWrap/>
        <w:autoSpaceDE/>
        <w:autoSpaceDN/>
        <w:spacing w:after="0" w:line="240" w:lineRule="auto"/>
        <w:jc w:val="left"/>
        <w:rPr>
          <w:rFonts w:ascii="Arial" w:eastAsia="굴림" w:hAnsi="Arial" w:cs="Arial"/>
          <w:color w:val="000000"/>
          <w:kern w:val="0"/>
          <w:sz w:val="18"/>
          <w:szCs w:val="18"/>
        </w:rPr>
      </w:pPr>
      <w:r>
        <w:rPr>
          <w:rFonts w:ascii="Arial" w:eastAsia="굴림" w:hAnsi="Arial" w:cs="Arial" w:hint="eastAsia"/>
          <w:color w:val="000000"/>
          <w:kern w:val="0"/>
          <w:sz w:val="18"/>
          <w:szCs w:val="18"/>
        </w:rPr>
        <w:t>[Abstract]</w:t>
      </w:r>
    </w:p>
    <w:p w:rsidR="001F1E42" w:rsidRDefault="001F1E42" w:rsidP="004B22B8">
      <w:pPr>
        <w:widowControl/>
        <w:wordWrap/>
        <w:autoSpaceDE/>
        <w:autoSpaceDN/>
        <w:spacing w:after="0" w:line="240" w:lineRule="auto"/>
        <w:jc w:val="left"/>
        <w:rPr>
          <w:rFonts w:ascii="Arial" w:eastAsia="굴림" w:hAnsi="Arial" w:cs="Arial" w:hint="eastAsia"/>
          <w:color w:val="000000"/>
          <w:kern w:val="0"/>
          <w:sz w:val="18"/>
          <w:szCs w:val="18"/>
        </w:rPr>
      </w:pPr>
      <w:r w:rsidRPr="001F1E42">
        <w:rPr>
          <w:rFonts w:ascii="Arial" w:eastAsia="굴림" w:hAnsi="Arial" w:cs="Arial"/>
          <w:color w:val="000000"/>
          <w:kern w:val="0"/>
          <w:sz w:val="18"/>
          <w:szCs w:val="18"/>
        </w:rPr>
        <w:t>Gaining Early Awareness and Readiness for Undergraduate Programs (GEAR UP) is a federal program designed to promote postsecondary readiness and success among low-income students. Some evidence suggests that this program promotes college enrollment and persistence, but GEAR UP may include a wide variety of services, and it is unclear which ones actually contribute to these apparent overall effects. The present study investigates this issue using doubly robust propensity score analyses to provide stronger causal conclusions. Four general service types and seven specific services were examined; the results provide important implications for GEAR UP and other programs designed to promote postsecondary attainment.</w:t>
      </w:r>
    </w:p>
    <w:p w:rsidR="004B22B8" w:rsidRPr="004B22B8" w:rsidRDefault="004B22B8" w:rsidP="004B22B8">
      <w:pPr>
        <w:widowControl/>
        <w:wordWrap/>
        <w:autoSpaceDE/>
        <w:autoSpaceDN/>
        <w:spacing w:after="0" w:line="240" w:lineRule="auto"/>
        <w:jc w:val="left"/>
        <w:rPr>
          <w:rFonts w:ascii="Arial" w:eastAsia="굴림" w:hAnsi="Arial" w:cs="Arial"/>
          <w:color w:val="000000"/>
          <w:kern w:val="0"/>
          <w:sz w:val="18"/>
          <w:szCs w:val="18"/>
        </w:rPr>
      </w:pPr>
    </w:p>
    <w:p w:rsidR="004B22B8" w:rsidRPr="004B22B8" w:rsidRDefault="004B22B8" w:rsidP="004B22B8">
      <w:pPr>
        <w:widowControl/>
        <w:wordWrap/>
        <w:autoSpaceDE/>
        <w:autoSpaceDN/>
        <w:spacing w:after="0" w:line="240" w:lineRule="auto"/>
        <w:jc w:val="left"/>
        <w:rPr>
          <w:rFonts w:ascii="Arial" w:eastAsia="굴림" w:hAnsi="Arial" w:cs="Arial"/>
          <w:b/>
          <w:color w:val="000000"/>
          <w:kern w:val="0"/>
          <w:sz w:val="22"/>
          <w:szCs w:val="18"/>
        </w:rPr>
      </w:pPr>
      <w:hyperlink r:id="rId16" w:tgtFrame="_blank" w:history="1">
        <w:r w:rsidRPr="004B22B8">
          <w:rPr>
            <w:rFonts w:ascii="Arial" w:eastAsia="굴림" w:hAnsi="Arial" w:cs="Arial"/>
            <w:b/>
            <w:color w:val="464646"/>
            <w:kern w:val="0"/>
            <w:sz w:val="22"/>
            <w:szCs w:val="18"/>
          </w:rPr>
          <w:t xml:space="preserve">An Investigation of a Multiple-Measures Teaching Evaluation System and Its Relationship </w:t>
        </w:r>
        <w:proofErr w:type="gramStart"/>
        <w:r w:rsidRPr="004B22B8">
          <w:rPr>
            <w:rFonts w:ascii="Arial" w:eastAsia="굴림" w:hAnsi="Arial" w:cs="Arial"/>
            <w:b/>
            <w:color w:val="464646"/>
            <w:kern w:val="0"/>
            <w:sz w:val="22"/>
            <w:szCs w:val="18"/>
          </w:rPr>
          <w:t>With</w:t>
        </w:r>
        <w:proofErr w:type="gramEnd"/>
        <w:r w:rsidRPr="004B22B8">
          <w:rPr>
            <w:rFonts w:ascii="Arial" w:eastAsia="굴림" w:hAnsi="Arial" w:cs="Arial"/>
            <w:b/>
            <w:color w:val="464646"/>
            <w:kern w:val="0"/>
            <w:sz w:val="22"/>
            <w:szCs w:val="18"/>
          </w:rPr>
          <w:t xml:space="preserve"> Students’ College-Going Outcomes</w:t>
        </w:r>
      </w:hyperlink>
    </w:p>
    <w:p w:rsidR="004B22B8" w:rsidRPr="004B22B8" w:rsidRDefault="004B22B8" w:rsidP="004B22B8">
      <w:pPr>
        <w:widowControl/>
        <w:wordWrap/>
        <w:autoSpaceDE/>
        <w:autoSpaceDN/>
        <w:spacing w:after="0" w:line="240" w:lineRule="auto"/>
        <w:jc w:val="left"/>
        <w:rPr>
          <w:rFonts w:ascii="Arial" w:eastAsia="굴림" w:hAnsi="Arial" w:cs="Arial"/>
          <w:color w:val="000000"/>
          <w:kern w:val="0"/>
          <w:sz w:val="18"/>
          <w:szCs w:val="18"/>
        </w:rPr>
      </w:pPr>
    </w:p>
    <w:p w:rsidR="004B22B8" w:rsidRPr="001F1E42" w:rsidRDefault="004B22B8" w:rsidP="001F1E42">
      <w:pPr>
        <w:pStyle w:val="a3"/>
        <w:widowControl/>
        <w:wordWrap/>
        <w:autoSpaceDE/>
        <w:autoSpaceDN/>
        <w:spacing w:after="0" w:line="240" w:lineRule="auto"/>
        <w:ind w:leftChars="0" w:left="26"/>
        <w:jc w:val="left"/>
        <w:rPr>
          <w:rFonts w:ascii="Arial" w:eastAsia="굴림" w:hAnsi="Arial" w:cs="Arial"/>
          <w:color w:val="000000"/>
          <w:kern w:val="0"/>
          <w:sz w:val="18"/>
          <w:szCs w:val="18"/>
        </w:rPr>
      </w:pPr>
      <w:r w:rsidRPr="001F1E42">
        <w:rPr>
          <w:rFonts w:ascii="Arial" w:eastAsia="굴림" w:hAnsi="Arial" w:cs="Arial" w:hint="eastAsia"/>
          <w:color w:val="000000"/>
          <w:kern w:val="0"/>
          <w:sz w:val="18"/>
          <w:szCs w:val="18"/>
        </w:rPr>
        <w:t>[Abstract]</w:t>
      </w:r>
    </w:p>
    <w:p w:rsidR="001F1E42" w:rsidRPr="001F1E42" w:rsidRDefault="001F1E42" w:rsidP="001F1E42">
      <w:pPr>
        <w:pStyle w:val="a3"/>
        <w:widowControl/>
        <w:wordWrap/>
        <w:autoSpaceDE/>
        <w:autoSpaceDN/>
        <w:spacing w:after="0" w:line="240" w:lineRule="auto"/>
        <w:ind w:leftChars="0" w:left="26"/>
        <w:jc w:val="left"/>
        <w:rPr>
          <w:rFonts w:ascii="Arial" w:eastAsia="굴림" w:hAnsi="Arial" w:cs="Arial" w:hint="eastAsia"/>
          <w:color w:val="000000"/>
          <w:kern w:val="0"/>
          <w:sz w:val="18"/>
          <w:szCs w:val="18"/>
        </w:rPr>
      </w:pPr>
      <w:r w:rsidRPr="001F1E42">
        <w:rPr>
          <w:rFonts w:ascii="Arial" w:eastAsia="굴림" w:hAnsi="Arial" w:cs="Arial"/>
          <w:color w:val="000000"/>
          <w:kern w:val="0"/>
          <w:sz w:val="18"/>
          <w:szCs w:val="18"/>
        </w:rPr>
        <w:t>In recent years, multiple-measures teaching evaluation systems have become widespread in states and school districts around the United States. Using administrative data from Pittsburgh Public Schools (PPS) and the National Student Clearinghouse, we examine the relationship between exposure to different ratings of teaching effectiveness in high school (based on a district-wide multiple-measures evaluation system) and high school graduation and college enrollment outcomes. We find a small but statistically significant difference in college enrollment rates for PPS graduates with more courses with teaching with the highest rating of Distinguished, and these students were also more likely to enroll in selective colleges.</w:t>
      </w:r>
    </w:p>
    <w:p w:rsidR="00002B49" w:rsidRDefault="001F1E42" w:rsidP="004B22B8">
      <w:bookmarkStart w:id="0" w:name="_GoBack"/>
      <w:bookmarkEnd w:id="0"/>
    </w:p>
    <w:sectPr w:rsidR="00002B49">
      <w:pgSz w:w="11906" w:h="16838"/>
      <w:pgMar w:top="1701" w:right="1440" w:bottom="1440" w:left="1440" w:header="851" w:footer="992" w:gutter="0"/>
      <w:cols w:space="425"/>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Arial">
    <w:panose1 w:val="020B0604020202020204"/>
    <w:charset w:val="00"/>
    <w:family w:val="swiss"/>
    <w:pitch w:val="variable"/>
    <w:sig w:usb0="E0002EFF" w:usb1="C000785B" w:usb2="00000009" w:usb3="00000000" w:csb0="000001FF" w:csb1="00000000"/>
  </w:font>
  <w:font w:name="굴림">
    <w:altName w:val="Gulim"/>
    <w:panose1 w:val="020B0600000101010101"/>
    <w:charset w:val="81"/>
    <w:family w:val="modern"/>
    <w:pitch w:val="variable"/>
    <w:sig w:usb0="B00002AF" w:usb1="69D77CFB" w:usb2="00000030" w:usb3="00000000" w:csb0="0008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alt="https://mail.snu.ac.kr/checkread/MTQ1Mjk1NTAzNA==/aG9qdW5sZWVAY2plLmFjLmty/" style="width:.75pt;height:.75pt;visibility:visible;mso-wrap-style:square" o:bullet="t">
        <v:imagedata r:id="rId1" o:title=""/>
      </v:shape>
    </w:pict>
  </w:numPicBullet>
  <w:abstractNum w:abstractNumId="0" w15:restartNumberingAfterBreak="0">
    <w:nsid w:val="517776B2"/>
    <w:multiLevelType w:val="hybridMultilevel"/>
    <w:tmpl w:val="C90A2146"/>
    <w:lvl w:ilvl="0" w:tplc="EA5A0AFE">
      <w:start w:val="1"/>
      <w:numFmt w:val="bullet"/>
      <w:lvlText w:val=""/>
      <w:lvlPicBulletId w:val="0"/>
      <w:lvlJc w:val="left"/>
      <w:pPr>
        <w:tabs>
          <w:tab w:val="num" w:pos="800"/>
        </w:tabs>
        <w:ind w:left="800" w:hanging="400"/>
      </w:pPr>
      <w:rPr>
        <w:rFonts w:ascii="Symbol" w:hAnsi="Symbol" w:hint="default"/>
      </w:rPr>
    </w:lvl>
    <w:lvl w:ilvl="1" w:tplc="1EA634DC" w:tentative="1">
      <w:start w:val="1"/>
      <w:numFmt w:val="bullet"/>
      <w:lvlText w:val=""/>
      <w:lvlJc w:val="left"/>
      <w:pPr>
        <w:tabs>
          <w:tab w:val="num" w:pos="1600"/>
        </w:tabs>
        <w:ind w:left="1600" w:hanging="400"/>
      </w:pPr>
      <w:rPr>
        <w:rFonts w:ascii="Symbol" w:hAnsi="Symbol" w:hint="default"/>
      </w:rPr>
    </w:lvl>
    <w:lvl w:ilvl="2" w:tplc="4050B88A" w:tentative="1">
      <w:start w:val="1"/>
      <w:numFmt w:val="bullet"/>
      <w:lvlText w:val=""/>
      <w:lvlJc w:val="left"/>
      <w:pPr>
        <w:tabs>
          <w:tab w:val="num" w:pos="2400"/>
        </w:tabs>
        <w:ind w:left="2400" w:hanging="400"/>
      </w:pPr>
      <w:rPr>
        <w:rFonts w:ascii="Symbol" w:hAnsi="Symbol" w:hint="default"/>
      </w:rPr>
    </w:lvl>
    <w:lvl w:ilvl="3" w:tplc="0B40D5B4" w:tentative="1">
      <w:start w:val="1"/>
      <w:numFmt w:val="bullet"/>
      <w:lvlText w:val=""/>
      <w:lvlJc w:val="left"/>
      <w:pPr>
        <w:tabs>
          <w:tab w:val="num" w:pos="3200"/>
        </w:tabs>
        <w:ind w:left="3200" w:hanging="400"/>
      </w:pPr>
      <w:rPr>
        <w:rFonts w:ascii="Symbol" w:hAnsi="Symbol" w:hint="default"/>
      </w:rPr>
    </w:lvl>
    <w:lvl w:ilvl="4" w:tplc="D848B9F6" w:tentative="1">
      <w:start w:val="1"/>
      <w:numFmt w:val="bullet"/>
      <w:lvlText w:val=""/>
      <w:lvlJc w:val="left"/>
      <w:pPr>
        <w:tabs>
          <w:tab w:val="num" w:pos="4000"/>
        </w:tabs>
        <w:ind w:left="4000" w:hanging="400"/>
      </w:pPr>
      <w:rPr>
        <w:rFonts w:ascii="Symbol" w:hAnsi="Symbol" w:hint="default"/>
      </w:rPr>
    </w:lvl>
    <w:lvl w:ilvl="5" w:tplc="926EFBA2" w:tentative="1">
      <w:start w:val="1"/>
      <w:numFmt w:val="bullet"/>
      <w:lvlText w:val=""/>
      <w:lvlJc w:val="left"/>
      <w:pPr>
        <w:tabs>
          <w:tab w:val="num" w:pos="4800"/>
        </w:tabs>
        <w:ind w:left="4800" w:hanging="400"/>
      </w:pPr>
      <w:rPr>
        <w:rFonts w:ascii="Symbol" w:hAnsi="Symbol" w:hint="default"/>
      </w:rPr>
    </w:lvl>
    <w:lvl w:ilvl="6" w:tplc="06DEE3B8" w:tentative="1">
      <w:start w:val="1"/>
      <w:numFmt w:val="bullet"/>
      <w:lvlText w:val=""/>
      <w:lvlJc w:val="left"/>
      <w:pPr>
        <w:tabs>
          <w:tab w:val="num" w:pos="5600"/>
        </w:tabs>
        <w:ind w:left="5600" w:hanging="400"/>
      </w:pPr>
      <w:rPr>
        <w:rFonts w:ascii="Symbol" w:hAnsi="Symbol" w:hint="default"/>
      </w:rPr>
    </w:lvl>
    <w:lvl w:ilvl="7" w:tplc="BCEAF226" w:tentative="1">
      <w:start w:val="1"/>
      <w:numFmt w:val="bullet"/>
      <w:lvlText w:val=""/>
      <w:lvlJc w:val="left"/>
      <w:pPr>
        <w:tabs>
          <w:tab w:val="num" w:pos="6400"/>
        </w:tabs>
        <w:ind w:left="6400" w:hanging="400"/>
      </w:pPr>
      <w:rPr>
        <w:rFonts w:ascii="Symbol" w:hAnsi="Symbol" w:hint="default"/>
      </w:rPr>
    </w:lvl>
    <w:lvl w:ilvl="8" w:tplc="37D8BC92" w:tentative="1">
      <w:start w:val="1"/>
      <w:numFmt w:val="bullet"/>
      <w:lvlText w:val=""/>
      <w:lvlJc w:val="left"/>
      <w:pPr>
        <w:tabs>
          <w:tab w:val="num" w:pos="7200"/>
        </w:tabs>
        <w:ind w:left="7200" w:hanging="400"/>
      </w:pPr>
      <w:rPr>
        <w:rFonts w:ascii="Symbol" w:hAnsi="Symbol"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800"/>
  <w:displayHorizontalDrawingGridEvery w:val="0"/>
  <w:displayVerticalDrawingGridEvery w:val="2"/>
  <w:noPunctuationKerning/>
  <w:characterSpacingControl w:val="doNotCompres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22B8"/>
    <w:rsid w:val="001F1E42"/>
    <w:rsid w:val="00316AEE"/>
    <w:rsid w:val="004B22B8"/>
    <w:rsid w:val="00843674"/>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D2551B8-CC93-4808-8545-FF60F80657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F1E42"/>
    <w:pPr>
      <w:ind w:leftChars="400" w:left="8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26313749">
      <w:bodyDiv w:val="1"/>
      <w:marLeft w:val="0"/>
      <w:marRight w:val="0"/>
      <w:marTop w:val="0"/>
      <w:marBottom w:val="0"/>
      <w:divBdr>
        <w:top w:val="none" w:sz="0" w:space="0" w:color="auto"/>
        <w:left w:val="none" w:sz="0" w:space="0" w:color="auto"/>
        <w:bottom w:val="none" w:sz="0" w:space="0" w:color="auto"/>
        <w:right w:val="none" w:sz="0" w:space="0" w:color="auto"/>
      </w:divBdr>
      <w:divsChild>
        <w:div w:id="126895315">
          <w:marLeft w:val="0"/>
          <w:marRight w:val="0"/>
          <w:marTop w:val="0"/>
          <w:marBottom w:val="0"/>
          <w:divBdr>
            <w:top w:val="none" w:sz="0" w:space="0" w:color="auto"/>
            <w:left w:val="none" w:sz="0" w:space="0" w:color="auto"/>
            <w:bottom w:val="none" w:sz="0" w:space="0" w:color="auto"/>
            <w:right w:val="none" w:sz="0" w:space="0" w:color="auto"/>
          </w:divBdr>
          <w:divsChild>
            <w:div w:id="191694955">
              <w:marLeft w:val="0"/>
              <w:marRight w:val="0"/>
              <w:marTop w:val="0"/>
              <w:marBottom w:val="0"/>
              <w:divBdr>
                <w:top w:val="none" w:sz="0" w:space="0" w:color="auto"/>
                <w:left w:val="none" w:sz="0" w:space="0" w:color="auto"/>
                <w:bottom w:val="none" w:sz="0" w:space="0" w:color="auto"/>
                <w:right w:val="none" w:sz="0" w:space="0" w:color="auto"/>
              </w:divBdr>
              <w:divsChild>
                <w:div w:id="589390034">
                  <w:marLeft w:val="0"/>
                  <w:marRight w:val="0"/>
                  <w:marTop w:val="0"/>
                  <w:marBottom w:val="0"/>
                  <w:divBdr>
                    <w:top w:val="none" w:sz="0" w:space="0" w:color="auto"/>
                    <w:left w:val="none" w:sz="0" w:space="0" w:color="auto"/>
                    <w:bottom w:val="none" w:sz="0" w:space="0" w:color="auto"/>
                    <w:right w:val="none" w:sz="0" w:space="0" w:color="auto"/>
                  </w:divBdr>
                  <w:divsChild>
                    <w:div w:id="1340695793">
                      <w:marLeft w:val="0"/>
                      <w:marRight w:val="0"/>
                      <w:marTop w:val="0"/>
                      <w:marBottom w:val="0"/>
                      <w:divBdr>
                        <w:top w:val="none" w:sz="0" w:space="0" w:color="auto"/>
                        <w:left w:val="none" w:sz="0" w:space="0" w:color="auto"/>
                        <w:bottom w:val="none" w:sz="0" w:space="0" w:color="auto"/>
                        <w:right w:val="none" w:sz="0" w:space="0" w:color="auto"/>
                      </w:divBdr>
                      <w:divsChild>
                        <w:div w:id="1667594230">
                          <w:marLeft w:val="0"/>
                          <w:marRight w:val="0"/>
                          <w:marTop w:val="0"/>
                          <w:marBottom w:val="0"/>
                          <w:divBdr>
                            <w:top w:val="none" w:sz="0" w:space="0" w:color="auto"/>
                            <w:left w:val="none" w:sz="0" w:space="0" w:color="auto"/>
                            <w:bottom w:val="none" w:sz="0" w:space="0" w:color="auto"/>
                            <w:right w:val="none" w:sz="0" w:space="0" w:color="auto"/>
                          </w:divBdr>
                          <w:divsChild>
                            <w:div w:id="559093647">
                              <w:marLeft w:val="0"/>
                              <w:marRight w:val="0"/>
                              <w:marTop w:val="0"/>
                              <w:marBottom w:val="0"/>
                              <w:divBdr>
                                <w:top w:val="none" w:sz="0" w:space="0" w:color="auto"/>
                                <w:left w:val="none" w:sz="0" w:space="0" w:color="auto"/>
                                <w:bottom w:val="none" w:sz="0" w:space="0" w:color="auto"/>
                                <w:right w:val="none" w:sz="0" w:space="0" w:color="auto"/>
                              </w:divBdr>
                              <w:divsChild>
                                <w:div w:id="873035185">
                                  <w:marLeft w:val="0"/>
                                  <w:marRight w:val="0"/>
                                  <w:marTop w:val="0"/>
                                  <w:marBottom w:val="0"/>
                                  <w:divBdr>
                                    <w:top w:val="none" w:sz="0" w:space="0" w:color="auto"/>
                                    <w:left w:val="none" w:sz="0" w:space="0" w:color="auto"/>
                                    <w:bottom w:val="none" w:sz="0" w:space="0" w:color="auto"/>
                                    <w:right w:val="none" w:sz="0" w:space="0" w:color="auto"/>
                                  </w:divBdr>
                                  <w:divsChild>
                                    <w:div w:id="136997086">
                                      <w:marLeft w:val="0"/>
                                      <w:marRight w:val="0"/>
                                      <w:marTop w:val="0"/>
                                      <w:marBottom w:val="0"/>
                                      <w:divBdr>
                                        <w:top w:val="none" w:sz="0" w:space="0" w:color="auto"/>
                                        <w:left w:val="none" w:sz="0" w:space="0" w:color="auto"/>
                                        <w:bottom w:val="none" w:sz="0" w:space="0" w:color="auto"/>
                                        <w:right w:val="none" w:sz="0" w:space="0" w:color="auto"/>
                                      </w:divBdr>
                                      <w:divsChild>
                                        <w:div w:id="6759070">
                                          <w:marLeft w:val="0"/>
                                          <w:marRight w:val="0"/>
                                          <w:marTop w:val="0"/>
                                          <w:marBottom w:val="0"/>
                                          <w:divBdr>
                                            <w:top w:val="none" w:sz="0" w:space="0" w:color="auto"/>
                                            <w:left w:val="none" w:sz="0" w:space="0" w:color="auto"/>
                                            <w:bottom w:val="none" w:sz="0" w:space="0" w:color="auto"/>
                                            <w:right w:val="none" w:sz="0" w:space="0" w:color="auto"/>
                                          </w:divBdr>
                                          <w:divsChild>
                                            <w:div w:id="1203404679">
                                              <w:marLeft w:val="0"/>
                                              <w:marRight w:val="0"/>
                                              <w:marTop w:val="0"/>
                                              <w:marBottom w:val="0"/>
                                              <w:divBdr>
                                                <w:top w:val="none" w:sz="0" w:space="0" w:color="auto"/>
                                                <w:left w:val="none" w:sz="0" w:space="0" w:color="auto"/>
                                                <w:bottom w:val="none" w:sz="0" w:space="0" w:color="auto"/>
                                                <w:right w:val="none" w:sz="0" w:space="0" w:color="auto"/>
                                              </w:divBdr>
                                              <w:divsChild>
                                                <w:div w:id="170031494">
                                                  <w:marLeft w:val="0"/>
                                                  <w:marRight w:val="0"/>
                                                  <w:marTop w:val="0"/>
                                                  <w:marBottom w:val="0"/>
                                                  <w:divBdr>
                                                    <w:top w:val="none" w:sz="0" w:space="0" w:color="auto"/>
                                                    <w:left w:val="none" w:sz="0" w:space="0" w:color="auto"/>
                                                    <w:bottom w:val="none" w:sz="0" w:space="0" w:color="auto"/>
                                                    <w:right w:val="none" w:sz="0" w:space="0" w:color="auto"/>
                                                  </w:divBdr>
                                                  <w:divsChild>
                                                    <w:div w:id="78333026">
                                                      <w:blockQuote w:val="1"/>
                                                      <w:marLeft w:val="192"/>
                                                      <w:marRight w:val="0"/>
                                                      <w:marTop w:val="0"/>
                                                      <w:marBottom w:val="0"/>
                                                      <w:divBdr>
                                                        <w:top w:val="none" w:sz="0" w:space="0" w:color="auto"/>
                                                        <w:left w:val="single" w:sz="12" w:space="12" w:color="auto"/>
                                                        <w:bottom w:val="none" w:sz="0" w:space="0" w:color="auto"/>
                                                        <w:right w:val="none" w:sz="0" w:space="0" w:color="auto"/>
                                                      </w:divBdr>
                                                      <w:divsChild>
                                                        <w:div w:id="1755517333">
                                                          <w:marLeft w:val="0"/>
                                                          <w:marRight w:val="0"/>
                                                          <w:marTop w:val="0"/>
                                                          <w:marBottom w:val="0"/>
                                                          <w:divBdr>
                                                            <w:top w:val="none" w:sz="0" w:space="0" w:color="auto"/>
                                                            <w:left w:val="none" w:sz="0" w:space="0" w:color="auto"/>
                                                            <w:bottom w:val="none" w:sz="0" w:space="0" w:color="auto"/>
                                                            <w:right w:val="none" w:sz="0" w:space="0" w:color="auto"/>
                                                          </w:divBdr>
                                                          <w:divsChild>
                                                            <w:div w:id="1403480211">
                                                              <w:marLeft w:val="0"/>
                                                              <w:marRight w:val="0"/>
                                                              <w:marTop w:val="75"/>
                                                              <w:marBottom w:val="0"/>
                                                              <w:divBdr>
                                                                <w:top w:val="none" w:sz="0" w:space="0" w:color="auto"/>
                                                                <w:left w:val="none" w:sz="0" w:space="0" w:color="auto"/>
                                                                <w:bottom w:val="none" w:sz="0" w:space="0" w:color="auto"/>
                                                                <w:right w:val="none" w:sz="0" w:space="0" w:color="auto"/>
                                                              </w:divBdr>
                                                              <w:divsChild>
                                                                <w:div w:id="480390906">
                                                                  <w:marLeft w:val="0"/>
                                                                  <w:marRight w:val="0"/>
                                                                  <w:marTop w:val="0"/>
                                                                  <w:marBottom w:val="0"/>
                                                                  <w:divBdr>
                                                                    <w:top w:val="none" w:sz="0" w:space="0" w:color="auto"/>
                                                                    <w:left w:val="none" w:sz="0" w:space="0" w:color="auto"/>
                                                                    <w:bottom w:val="none" w:sz="0" w:space="0" w:color="auto"/>
                                                                    <w:right w:val="none" w:sz="0" w:space="0" w:color="auto"/>
                                                                  </w:divBdr>
                                                                  <w:divsChild>
                                                                    <w:div w:id="1104770578">
                                                                      <w:marLeft w:val="0"/>
                                                                      <w:marRight w:val="0"/>
                                                                      <w:marTop w:val="0"/>
                                                                      <w:marBottom w:val="0"/>
                                                                      <w:divBdr>
                                                                        <w:top w:val="none" w:sz="0" w:space="0" w:color="auto"/>
                                                                        <w:left w:val="none" w:sz="0" w:space="0" w:color="auto"/>
                                                                        <w:bottom w:val="none" w:sz="0" w:space="0" w:color="auto"/>
                                                                        <w:right w:val="none" w:sz="0" w:space="0" w:color="auto"/>
                                                                      </w:divBdr>
                                                                    </w:div>
                                                                    <w:div w:id="75871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journals.sagepub.com/doi/full/10.1177/0013161X20907128" TargetMode="External"/><Relationship Id="rId13" Type="http://schemas.openxmlformats.org/officeDocument/2006/relationships/hyperlink" Target="https://journals.sagepub.com/doi/full/10.1177/0895904818810522"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journals.sagepub.com/doi/full/10.1177/0013161X20907133" TargetMode="External"/><Relationship Id="rId12" Type="http://schemas.openxmlformats.org/officeDocument/2006/relationships/hyperlink" Target="https://journals.sagepub.com/doi/full/10.1177/0895904818810520"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journals.sagepub.com/doi/full/10.1177/0895904818813302" TargetMode="External"/><Relationship Id="rId1" Type="http://schemas.openxmlformats.org/officeDocument/2006/relationships/numbering" Target="numbering.xml"/><Relationship Id="rId6" Type="http://schemas.openxmlformats.org/officeDocument/2006/relationships/hyperlink" Target="https://journals.sagepub.com/doi/full/10.1177/0013161X19891223" TargetMode="External"/><Relationship Id="rId11" Type="http://schemas.openxmlformats.org/officeDocument/2006/relationships/hyperlink" Target="https://journals.sagepub.com/home/epx" TargetMode="External"/><Relationship Id="rId5" Type="http://schemas.openxmlformats.org/officeDocument/2006/relationships/hyperlink" Target="https://journals.sagepub.com/home/eaq" TargetMode="External"/><Relationship Id="rId15" Type="http://schemas.openxmlformats.org/officeDocument/2006/relationships/hyperlink" Target="https://journals.sagepub.com/doi/full/10.1177/0895904818813301" TargetMode="External"/><Relationship Id="rId10" Type="http://schemas.openxmlformats.org/officeDocument/2006/relationships/hyperlink" Target="https://journals-sagepub-com.ezp1.lib.umn.edu/doi/full/10.1177/0013161X20909871" TargetMode="External"/><Relationship Id="rId4" Type="http://schemas.openxmlformats.org/officeDocument/2006/relationships/webSettings" Target="webSettings.xml"/><Relationship Id="rId9" Type="http://schemas.openxmlformats.org/officeDocument/2006/relationships/hyperlink" Target="https://journals-sagepub-com.ezp1.lib.umn.edu/doi/full/10.1177/0013161X20906546" TargetMode="External"/><Relationship Id="rId14" Type="http://schemas.openxmlformats.org/officeDocument/2006/relationships/hyperlink" Target="https://journals.sagepub.com/doi/full/10.1177/0895904818813297"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4</Pages>
  <Words>2278</Words>
  <Characters>12986</Characters>
  <Application>Microsoft Office Word</Application>
  <DocSecurity>0</DocSecurity>
  <Lines>108</Lines>
  <Paragraphs>30</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15234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Samsung</dc:creator>
  <cp:keywords/>
  <dc:description/>
  <cp:lastModifiedBy>Samsung</cp:lastModifiedBy>
  <cp:revision>1</cp:revision>
  <dcterms:created xsi:type="dcterms:W3CDTF">2021-01-14T02:43:00Z</dcterms:created>
  <dcterms:modified xsi:type="dcterms:W3CDTF">2021-01-14T02:58:00Z</dcterms:modified>
</cp:coreProperties>
</file>